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1A.40/2002 vom 5. April 2002</w:t>
      </w:r>
    </w:p>
    <w:p>
      <w:r>
        <w:t>Bundesgericht, 2002-04-05, FR</w:t>
      </w:r>
    </w:p>
    <w:p>
      <w:r>
        <w:rPr>
          <w:b/>
        </w:rPr>
        <w:t xml:space="preserve">Quelle: </w:t>
      </w:r>
      <w:r>
        <w:t>https://mcp.opencaselaw.ch/entscheid/bger_1A.40_2002</w:t>
      </w:r>
    </w:p>
    <w:p>
      <w:r>
        <w:t>FR: TF 1A.40/2002 du 5 avril 2002</w:t>
      </w:r>
    </w:p>
    <w:p>
      <w:r>
        <w:t>IT: TF 1A.40/2002 del 5 aprile 2002</w:t>
      </w:r>
    </w:p>
    <w:p>
      <w:pPr>
        <w:pStyle w:val="Heading2"/>
      </w:pPr>
      <w:r>
        <w:t>Erwägungen</w:t>
      </w:r>
    </w:p>
    <w:p>
      <w:r>
        <w:rPr>
          <w:b/>
        </w:rPr>
        <w:t>E. 1.1</w:t>
      </w:r>
    </w:p>
    <w:p>
      <w:r>
        <w:t>L'entraide entre la Belgique et la Suisse est régie par la CEEJ. Les dispositions de ce traité l'emportent sur le droit autonome qui régit la matière, soit en l'occurrence l'EIMP et l'OEIMP. Celles-ci restent toutefois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Est réservée l'exigence du respect des droits fondamentaux ( ATF 123 II 595 consid. 7c p. 617).</w:t>
      </w:r>
    </w:p>
    <w:p>
      <w:r>
        <w:rPr>
          <w:b/>
        </w:rPr>
        <w:t>E. 1.2</w:t>
      </w:r>
    </w:p>
    <w:p>
      <w:r>
        <w:t>La voie du recours de droit administratif est ouverte contre la décision confirmant la transmission de la documentation bancaire à l'Etat requérant et la saisie de comptes bancaires (cf. art. 25 al. 1 EIMP ).</w:t>
      </w:r>
    </w:p>
    <w:p>
      <w:r>
        <w:rPr>
          <w:b/>
        </w:rPr>
        <w:t>E. 1.3</w:t>
      </w:r>
    </w:p>
    <w:p>
      <w:r>
        <w:t>Au regard de l' art. 80h let. b EIMP , mis en relation avec l' art. 9a let. a OEIMP , les recourantes ont qualité pour agir contre la décision confirmant la transmission de la documentation relative aux comptes dont elles sont les titulaires ( ATF 127 II 198 consid. 2d p. 205; 126 II 258 consid. 2d/aa p. 260; 125 II 356 consid. 3b/bb p. 362, et les arrêts cités).</w:t>
      </w:r>
    </w:p>
    <w:p>
      <w:r>
        <w:rPr>
          <w:b/>
        </w:rPr>
        <w:t>E. 1.4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w:t>
      </w:r>
    </w:p>
    <w:p>
      <w:r>
        <w:t>Selon les recourantes, l'exposé des faits joint à la demande serait inexact, incomplet et incohérent.</w:t>
      </w:r>
    </w:p>
    <w:p>
      <w:r>
        <w:rPr>
          <w:b/>
        </w:rPr>
        <w:t>E. 2.1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auraient été utilisés dans le déroulement des opérations délictueuses poursuivies dans l'Etat requérant (arrêt 1A.211/1992 du 29 juin 1993).</w:t>
      </w:r>
    </w:p>
    <w:p>
      <w:r>
        <w:rPr>
          <w:b/>
        </w:rPr>
        <w:t>E. 2.2</w:t>
      </w:r>
    </w:p>
    <w:p>
      <w:r>
        <w:t>Les recourantes tiennent l'exposé des faits joint à la demande pour incomplet. Elles se réfèrent sur ce point à la plainte pénale déposée à Genève contre W.________, administrateur de M.________ et F.________, dans un complexe de fait analogue, mettant en cause P.________ B.________ &amp; Associates Inc. en relation avec l'achat de terrains au Texas. Le 23 mai 2000, le Procureur général du canton de Genève avait classé cette plainte, faute de compétence des autorités genevoises pour en connaître et pour défaut de prévention à raison du caractère lacunaire de la plainte. Le 2 novembre 2000, la Chambre d'accusation a rejeté le recours formé contre ce classement, qu'elle a confirmé.</w:t>
      </w:r>
    </w:p>
    <w:p>
      <w:r>
        <w:t>L'argument n'est pas déterminant. La procédure d'entraide, de nature administrative, ne constitue pas le prolongement, sur le territoire de l'Etat requis, de la procédure pénale ouverte dans l'Etat requérant. Quant à son contenu, la demande d'entraide n'est pas soumise à des exigences aussi strictes qu'une plainte destinée à mettre en mouvement l'action pénale. L'entraide judiciaire a pour but de permettre aux autorités de l'Etat requérant de rassembler des éléments de preuve, à charge et à décharge, qu'elles ne peuvent recueillir directement elles-mêmes, sauf à violer la souveraineté de l'Etat requis. Celui-ci ne doit pas considérer la demande à la même aune qu'une plainte pénale qui lui serait directement adressée, mais simplement vérifier, de manière minimale, que la démarche de l'Etat requérant n'est pas abusive. A suivre les recourantes, l'octroi de l'entraide serait subordonné à la condition que la plainte formée en Belgique par les époux X.________ eût été recevable si elle avait été présentée au Procureur général du canton de Genève, ce qui est hors de propos.</w:t>
      </w:r>
    </w:p>
    <w:p>
      <w:r>
        <w:rPr>
          <w:b/>
        </w:rPr>
        <w:t>E. 2.3</w:t>
      </w:r>
    </w:p>
    <w:p>
      <w:r>
        <w:t>Selon les recourantes, la demande ne permettrait pas d'établir que le plaignant ait subi un préjudice, ni de déterminer le montant de celui-ci.</w:t>
      </w:r>
    </w:p>
    <w:p>
      <w:r>
        <w:t>La demande évalue le préjudice des époux X.________ à 600'000 USD (exposé des faits, ch. 1). Plus loin, le Juge Lambrecht a indiqué que les plaignants ont investi des fonds dans six lots offerts par P.________ B.________ &amp; Associates Inc., pour un montant total de 746'454,70 USD. De ce montant, 426'615 USD auraient été remboursés « dans la première période », le solde s'élevant ainsi à 319'839,70 USD. Le Juge Lambrecht a ajouté: « Ce montant et le préjudice subi par les plaignants s'élèvent entre temps à 636'988 USD le 21.03.99, une somme approuvée par S.________ »(exposé des faits, ch. 3). Considéré isolément, ce passage est difficilement compréhensible, car on ne discerne pas, au premier abord, de quels éléments se compose le dommage de 636'988 USD, arrêté au 21 mars 1999, ni la nature et la portée de la confirmation donnée par S.________ sur ce point. Pour saisir le sens de la demande - laquelle aurait sans doute mérité d'être plus explicite à cet égard - il faut replacer l'élément mis en exergue par les recourantes dans son contexte. La demande indique clairement que S.________ aurait fait miroiter aux investisseurs la possibilité de réaliser un bénéfice faramineux, de l'ordre de 500 % dans un intervalle de trois à cinq ans. Alors que les investisseurs croyaient acquérir les terrains en question directement de P.________ B.________ &amp; Associates Inc. au prix du marché, P.________ B.________ &amp; Associates Inc. faisait simplement office d'intermédiaire avec M.________, laquelle vendait les terrains aux investisseurs, via P.________ B.________ &amp; Associates Inc., à des prix totalement surfaits. Cette technique dite du « flipping », dont la demande donne des exemples éloquents (ch. 4 de la demande), aurait permis à M.________ de réaliser des bénéfices substantiels, partagés avec P.________ B.________ &amp; Associates Inc. et S.________. P.________ B.________ &amp; Associates Inc., soit pour elle les investisseurs, était devenue propriétaire de terrains totalement surévalués, partant irréalisables sur le marché. La différence entre le prix réel et le prix surfait payé par les investisseurs (de l'ordre du double), constituait le profit de M.________ et P.________ B.________ &amp; Associates Inc. (dominées par les mêmes personnes) et le montant de la perte subie par les investisseurs. Ainsi compris, l'exposé des faits joint à la demande peut encore être tenu pour suffisant au regard des exigences des art. 14 CEEJ et 28 EIMP.</w:t>
      </w:r>
    </w:p>
    <w:p>
      <w:r>
        <w:rPr>
          <w:b/>
        </w:rPr>
        <w:t>E. 2.4</w:t>
      </w:r>
    </w:p>
    <w:p>
      <w:r>
        <w:t>Contrairement à ce que soutiennent les recourantes, il existe un lien suffisant entre les faits décrits dans la demande et les comptes saisis. P.________, l'un des associés de P.________ B.________ &amp; Associates Inc., est l'ayant droit des comptes détenus par M.________ et F.________ (nos 1 et 3). S.________ est l'ayant droit des comptes détenus par C.________ et D.________ (nos 2 et 4). C.________, J.________ et M.________ sont domiciliées auprès de R.________ S.A. (ci-après: R.________), soit chez W.________. Ces éléments, cités pour la plupart dans la demande elle-même, suffisent pour justifier la saisie de la documentation relative à ces comptes, et le blocage de ceux-ci, afin de vérifier si, comme le soupçonnent les autorités de l'Etat requérant, une partie du produit des infractions reprochées à S.________ aurait été virée sur ces comptes.</w:t>
      </w:r>
    </w:p>
    <w:p>
      <w:r>
        <w:rPr>
          <w:b/>
        </w:rPr>
        <w:t>E. 2.5</w:t>
      </w:r>
    </w:p>
    <w:p>
      <w:r>
        <w:t>Il importe peu que les époux X.________ soient les seuls investisseurs à avoir déposé plainte contre S.________ ou qu'ils soient mus par le dépit de n'avoir pas réalisé le profit substantiel escompté, comme l'affirment les recourantes. Le nombre de plaignants et leur motivation profonde n'est pas déterminant pour apprécier la validité de la demande. De même, il est sans importance que celle-ci ne précise pas que S.________ est également poursuivi pour abus de confiance et faux dans les titres. On ne voit pas en quoi une telle omission pourrait accréditer la thèse, défendue par les recourantes, selon laquelle le véritable objectif des autorités de l'Etat requérant serait de dévoiler un délit fiscal. Le principe de la spécialité, rappelé dans la décision de clôture, empêche au demeurant l'Etat requérant d'utiliser les documents remis par la Suisse dans le cadre de l'entraide pour la répression de délits fiscaux, pour autant que ceux-ci ne soient pas assimilables à des escroqueries fiscales en droit suisse ( art. 2 let. a CEEJ et 3 al. 3 EIMP; cf. ATF 125 II 250 ).</w:t>
      </w:r>
    </w:p>
    <w:p>
      <w:r>
        <w:t>Le grief est ainsi mal fondé, ce qui prive la conclusion subsidiaire du recours de son objet.</w:t>
      </w:r>
    </w:p>
    <w:p>
      <w:r>
        <w:rPr>
          <w:b/>
        </w:rPr>
        <w:t>E. 3</w:t>
      </w:r>
    </w:p>
    <w:p>
      <w:r>
        <w:t>Sous l'angle de la double incrimination, les recourantes contestent que la condition de l'astuce, constitutive de l'escroquerie au sens de l' art. 146 CP , soit remplie en l'espèce.</w:t>
      </w:r>
    </w:p>
    <w:p>
      <w:r>
        <w:rPr>
          <w:b/>
        </w:rPr>
        <w:t>E. 3.1</w:t>
      </w:r>
    </w:p>
    <w:p>
      <w:r>
        <w:t>La remise de documents bancaires et la saisie d'avoirs placés sur des comptes bancaires constituent des mesures de contrainte au sens de l' art. 63 al. 2 let . c et d EIMP, qui ne peuvent être ordonnées, selon l' art. 64 al. 1 EIMP , que si l'état de fait exposé dans la demande correspond aux éléments objectifs d'une infraction réprimée par le droit suisse.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w:t>
      </w:r>
    </w:p>
    <w:p>
      <w:r>
        <w:rPr>
          <w:b/>
        </w:rPr>
        <w:t>E. 3.2.1</w:t>
      </w:r>
    </w:p>
    <w:p>
      <w:r>
        <w:t>L'escroquerie se définit, en droit suisse,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 art. 146 ch. 1 CP ). L'astuce au sens de cette disposition est réalisée non seulement lorsque l'auteur utilise un édifice de mensonges, des manoeuvres frauduleuses ou une mise en scène, mais aussi lorsqu'il fait de fausses déclarations dont la vérification ne serait possible qu'au prix d'un effort particulier ou ne pourrait raisonnablement être exigée, ou encore lorsque l'auteur dissuade la victime de les contrôler, voire prévoit, d'après les rapports de confiance particuliers qui le lient à la victime, que celle-ci ne les vérifiera pas ( ATF 126 IV 165 consid. 2a p. 171/172; 122 IV 146 consid. 3a p. 426/427; 120 IV 122 consid. 6a/bb p. 132/133, 186 consid. 1a p. 187/188; 119 IV 30 consid. 3a p. 34/35, et les arrêts cités). L'astuce n'est cependant pas réalisée si la dupe pouvait se protéger avec un minimum d'attention ou éviter l'erreur avec le minimum de prudence que l'on pouvait attendre d'elle. Il n'est pas nécessaire, pour qu'il y ait escroquerie, que la dupe ait fait preuve de la plus grande diligence et de la plus grande prudence possibles; le point déterminant n'est pas de savoir si elle fait tout ce qui était en son pouvoir pour éviter d'être trompée ( ATF 126 IV 165 consid. 2a p. 171/172; 122 IV 246 consid. 3a p. 247/248; arrêt 6S.504/2001 du 25 octobre 2001, destiné à la publication, consid. 3a; arrêt 6S.346/1999 du 30 novembre 1999, reproduit in: SJ 2000 I p. 234). Pour apprécier si l'auteur a usé d'astuce et si la dupe a omis de prendre les mesures de précaution élémentaires, il ne suffit pas de se demander comment une personne raisonnable et expérimentée aurait réagi à sa place; il faut au contraire prendre en considération la situation particulière de la dupe, telle que l'auteur la connaît et l'exploite ( ATF 120 IV 186 consid. 1a p. 188). Que la victime ait investi dans des opérations spéculatives par appât d'un profit considérable et immédiat ne signifie pas nécessairement qu'elle ait ainsi implicitement accepté d'être trompée, à raison du risque même déraisonnable qu'elle a pris (arrêt 6P.172/2000 du 14 mai 2001, consid. 8).</w:t>
      </w:r>
    </w:p>
    <w:p>
      <w:r>
        <w:rPr>
          <w:b/>
        </w:rPr>
        <w:t>E. 3.2.2</w:t>
      </w:r>
    </w:p>
    <w:p>
      <w:r>
        <w:t>Selon l'exposé des faits joint à la demande, les auteurs de l'escroquerie poursuivie auraient agi de la manière suivante: M.________ aurait acquis des bien-fonds au Texas, puis les aurait revendu (généralement pour un montant équivalent au double du prix d'achat) à P.________ B.________ &amp; Associates Inc. (société dominée par les mêmes personnes physiques que celles contrôlant M.________); S.________, agissant comme intermédiaire pour P.________ B.________ &amp; Associates Inc., aurait proposé aux victimes d'acquérir des parts des lots offerts par P.________ B.________ &amp; Associates Inc. à la vente, en leur faisant miroiter une plus-value de l'ordre de 500 % pour une période de trois à cinq ans; S.________ et P.________ B.________ &amp; Associates Inc. auraient caché aux acquéreurs le fait que les lots n'étaient pas acquis directement par celle-ci, mais auprès de M.________; au bout du compte, les acquéreurs auraient acheté les lots pour un prix surfait, correspondant au bénéfice empoché au passage tant par M.________, lors de la vente à P.________ B.________ &amp; Associates Inc., que par celle-ci, lors de la revente aux victimes. Ce mode opératoire implique la mise en oeuvre d'une machination, consistant à cacher l'existence et l'intervention de M.________, ainsi que l'identité des ayants droit de celle-ci. Cette construction peut, à première vue, être qualifiée d'astucieuse, parce qu'elle repose sur la dissimulation d'un fait déterminant: la participation de M.________ comme intermédiaire a pour effet de faire augmenter artificiellement le prix des lots, sans aucune autre raison que celle d'amener les acquéreurs à payer un prix surfait. Quant aux victimes, domiciliées en Europe, elles se trouvaient de fait dans l'impossibilité de déjouer le traquenard tendu, par exemple en vérifiant la valeur vénale des terrains en question. On ne pouvait en tout cas pas attendre d'un médecin belge, ignorant du marché immobilier texan, qu'il puisse éventer le piège. Une personne prudente aurait sans doute dû se méfier de promesses de profits à ce point considérables. Mais son seul attrait d'un gain immense, rapide et facile, ne suffit pas, selon la jurisprudence qui vient d'être rappelée, à la rendre coresponsable du dommage subi.</w:t>
      </w:r>
    </w:p>
    <w:p>
      <w:r>
        <w:t>Il importe peu, à cet égard, que S.________ n'était pas un organe de P.________ B.________ &amp; Associates Inc., mais seulement un courtier, car, selon l'exposé des faits joint à la demande, les autorités de l'Etat requérant le soupçonnent d'avoir été de mèche avec P.________ B.________ &amp; Associates Inc., jouant le rôle de rabatteur. Il n'est pas davantage déterminant que les contrats de souscription ne contenaient, en eux-mêmes, aucune indication fausse ou de nature à tromper les cocontractants; l'astuce consistait précisément à cacher un élément essentiel de la transaction. Enfin, le dommage subi par les investisseurs est double: ils ont payé un prix surfait des terrains qui ne valent pas la moitié de ce qu'ils ont payé; sans même parler d'un bénéfice, ils n'ont aucune perspective de retrouver leur mise de départ. Qu'ils cherchent par ailleurs à limiter leurs pertes en tentant de se défaire des lots litigieux au meilleur prix, n'est rien que de très normal.</w:t>
      </w:r>
    </w:p>
    <w:p>
      <w:r>
        <w:rPr>
          <w:b/>
        </w:rPr>
        <w:t>E. 4</w:t>
      </w:r>
    </w:p>
    <w:p>
      <w:r>
        <w:t>Les recourantes invoquent le principe de la proportionnalité.</w:t>
      </w:r>
    </w:p>
    <w:p>
      <w:r>
        <w:rPr>
          <w:b/>
        </w:rPr>
        <w:t>E. 4.1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(arrêt non publié D. du 7 décembre 1998, consid. 5).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4.2</w:t>
      </w:r>
    </w:p>
    <w:p>
      <w:r>
        <w:t>Dans un premier moyen développé sous l'angle du défaut de motivation de la demande (cf. consid. 2 ci-dessus), les recourantes font valoir que la documentation bancaire saisie serait inutile à l'enquête en cours, le montant du prix des lots vendus ayant été viré directement sur les comptes de P.________ B.________ &amp; Associates Inc. aux Etats-Unis. Cet argument ne vaut rien. Les autorités belges soupçonnent S.________ d'avoir fait virer sa part du butin, par l'entremise de M.________ et de F.________, sur les comptes saisis. En d'autres termes, ces comptes n'auraient pas servi au flux des paiements effectués en faveur de P.________ B.________ &amp; Associates Inc., mais au reflux du partage des bénéfices des opérations délictueuses dont S.________ est soupçonné.</w:t>
      </w:r>
    </w:p>
    <w:p>
      <w:r>
        <w:rPr>
          <w:b/>
        </w:rPr>
        <w:t>E. 4.3</w:t>
      </w:r>
    </w:p>
    <w:p>
      <w:r>
        <w:t>Dans un deuxième moyen, les recourantes s'opposent à la transmission de pièces dévoilant l'identité de clients d'une société R.________.</w:t>
      </w:r>
    </w:p>
    <w:p>
      <w:r>
        <w:rPr>
          <w:b/>
        </w:rPr>
        <w:t>E. 4.3.1</w:t>
      </w:r>
    </w:p>
    <w:p>
      <w:r>
        <w:t>La référence à des tiers non impliqués est hors de propos, puisque la disposition y relative (l' art. 10 EIMP dans sa teneur originale) a été abrogée lors de la révision du 4 octobre 1996.</w:t>
      </w:r>
    </w:p>
    <w:p>
      <w:r>
        <w:rPr>
          <w:b/>
        </w:rPr>
        <w:t>E. 4.3.2</w:t>
      </w:r>
    </w:p>
    <w:p>
      <w:r>
        <w:t>Même si les recourantes ne l'indiquent pas de manière précise dans l'acte de recours, il faut admettre qu'elles se réfèrent aux pièces 2 à 7 du bordereau joint au recours cantonal. Il convient de prendre acte de ce que, sous l'angle du principe de la proportionnalité, l'objet du litige se limite à ces seules pièces.</w:t>
      </w:r>
    </w:p>
    <w:p>
      <w:r>
        <w:t>Le 14 avril 1994, R.________ s'est adressée à la banque E.________ (devenue la banque A.________ dans l'intervalle), pour demander l'annulation des pouvoirs de gérance délégués à la société J.________ S.A. La banque a retourné à R.________ une liste des sociétés concernées, parmi lesquelles figuraient les recourantes C.________ et F.________, mais aussi vingt-trois autres sociétés. Le 16 mai 1995, R.________ a donné à des tiers des pouvoirs de gérance sur un certain nombre de comptes, dont les nos 1, 2 et 3, mais aussi ceux de dix-sept autres personnes physiques ou morales, qui ne sont pas citées dans la demande d'entraide, sous réserve de P.________. La Chambre d'accusation a estimé que la transmission de ces documents pouvait être utile dans la mesure où ils concernaient J.________. Il est possible que sur ce point, la Chambre d'accusation ait confondu J.________ S.A. et J.________ Estate, seule cette dernière étant citée dans la demande. Cette confusion n'est cependant pas décisive. La demande met en évidence le rôle qu'aurait joué W.________, dirigeant de R.________, comme comparse de S.________, P.________ et B.________; elle cite expressément J.________ Estate comme l'une des sociétés dont les comptes doivent être saisis. Il est dès lors conforme au principe de l'« utilité potentielle », qui vient d'être rappelé, de signaler aux autorités de l'Etat requérant tous les liens pouvant exister entre W.________, R.________, J.________ Estate et J.________ S.A. Au demeurant, les renseignements dont la communication est contestée sont d'importance mineure: ils indiquent tout au plus quels comptes gérait R.________ et les noms de leurs titulaires. La transmission d'autres informations à leur sujet nécessiterait la présentation d'une demande complémentaire.</w:t>
      </w:r>
    </w:p>
    <w:p>
      <w:r>
        <w:rPr>
          <w:b/>
        </w:rPr>
        <w:t>E. 5</w:t>
      </w:r>
    </w:p>
    <w:p>
      <w:r>
        <w:t>Le recours doit ainsi être rejeté. Les frais en sont mis à la charge des recourantes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