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1A.38/2002 vom 28. März 2002</w:t>
      </w:r>
    </w:p>
    <w:p>
      <w:r>
        <w:t>Bundesgericht, 2002-03-28, FR</w:t>
      </w:r>
    </w:p>
    <w:p>
      <w:r>
        <w:rPr>
          <w:b/>
        </w:rPr>
        <w:t xml:space="preserve">Quelle: </w:t>
      </w:r>
      <w:r>
        <w:t>https://mcp.opencaselaw.ch/entscheid/bger_1A.38_2002</w:t>
      </w:r>
    </w:p>
    <w:p>
      <w:r>
        <w:t>FR: TF 1A.38/2002 du 28 mars 2002</w:t>
      </w:r>
    </w:p>
    <w:p>
      <w:r>
        <w:t>IT: TF 1A.38/2002 del 28 marzo 2002</w:t>
      </w:r>
    </w:p>
    <w:p>
      <w:pPr>
        <w:pStyle w:val="Heading2"/>
      </w:pPr>
      <w:r>
        <w:t>Regeste</w:t>
      </w:r>
    </w:p>
    <w:p>
      <w:r>
        <w:t>Entraide et extradition</w:t>
      </w:r>
    </w:p>
    <w:p>
      <w:pPr>
        <w:pStyle w:val="Heading2"/>
      </w:pPr>
      <w:r>
        <w:t>Erwägungen</w:t>
      </w:r>
    </w:p>
    <w:p>
      <w:r>
        <w:rPr>
          <w:b/>
        </w:rPr>
        <w:t>E. 1</w:t>
      </w:r>
    </w:p>
    <w:p>
      <w:r>
        <w:t>Le Tribunal fédéral examine d'office et avec une pleine cognition la recevabilité des recours qui lui sont soumis ( ATF 127 I 92 consid. 1 p. 93; 127 II 198 consid. 2 p. 201; 127 III 41 consid. 2a p. 42; 127 IV 150 consid. 1a p. 151, 166 consid. 1 p. 168, et les arrêts cités).</w:t>
      </w:r>
    </w:p>
    <w:p>
      <w:r>
        <w:rPr>
          <w:b/>
        </w:rPr>
        <w:t>E. 1.1</w:t>
      </w:r>
    </w:p>
    <w:p>
      <w:r>
        <w:t>Comme cela ressort de son dispositif, mis en relation avec son considérant 2, la décision attaquée renvoie la cause au Juge d'instruction pour qu'il détermine le contenu exact des disquettes remises le 20 février 2001 au mandataire genevois de E.________. Il s'agit là d'une décision incidente, contre laquelle le recours de droit administratif n'est recevable que si elle entraîne un préjudice irréparable ( art. 101 let. a OJ , mis en relation avec l' art. 45 al. 1 PA ; ATF 120 Ib 97 consid. 1c p. 99/100; 116 Ib 344 consid. 1c p. 347). Une décision de renvoi contenant des instructions impératives à l'autorité inférieure sur les points tranchés définitivement dans les considérants n'est pas de nature incidente, mais finale, car elle présente les traits d'un arrêt partiel ( ATF 118 Ib 196 consid. 1b p. 198/199; 117 Ib 325 consid. 1b p. 327). Si, comme le suppose la Chambre d'accusation, la remise des disquettes litigieuses devait, selon les circonstances, équivaloir à une décision de clôture dans le cadre de la procédure CP/314/95 (cf. consid. 1.2 ci-dessous), le recours de droit administratif serait ouvert au fond (cf. art. 101 let. a OJ , mis en relation avec l' art. 25 al. 1 EIMP ).</w:t>
      </w:r>
    </w:p>
    <w:p>
      <w:r>
        <w:rPr>
          <w:b/>
        </w:rPr>
        <w:t>E. 1.2</w:t>
      </w:r>
    </w:p>
    <w:p>
      <w:r>
        <w:t>Le 20 février 2001, le Juge d'instruction a remis à E.________ comme partie civile à la procédure pénale P/6133/98, quatre disquettes informatiques contenant des pièces du dossier de cette procédure, correspondant à des documents bancaires, tirées des procédures d'entraide CP/314/95 et CP/242/97. Pour la Chambre d'accusation, cette remise devrait être assimilée à une décision de clôture dans la procédure CP/314/95, si les autorités espagnoles avaient reçu, par l'entremise de E.________, partie civile à la procédure pénale en Espagne, des documents relatifs à des comptes dont C.________ est le titulaire et qu'elles n'auraient pu recevoir qu'après le prononcé d'une décision de clôture entrée en force. Sur ce point, la décision attaquée n'est pas absolument claire. D'un côté, la Chambre d'accusation semble considérer la remise du 20 février 2001 comme une décision de clôture de fait. D'un autre côté, se trouvant dans l'impossibilité de déterminer elle-même si les informations contenues dans les disquettes litigieuses sont identiques à celles déjà communiquées à l'Etat requérant dans les décisions de clôture rendues dans le cadre de la CP/314/95, la Chambre d'accusation a renvoyé la cause au Juge d'instruction pour qu'il procède à cette vérification. Or, de deux choses l'une: ou bien les informations sont identiques et la remise du 20 février 2001 porte tout au plus sur la répétition de mesures d'entraide déjà entrées en force; ou bien ces informations ne sont pas identiques, ce qui soulèverait, dans des termes encore indéfinis, la question délicate de la nature juridique de la remise du 20 février 2001. Le choix entre ces deux termes de l'alternative dépend ainsi de la clarification préalable du contenu exact des disquettes litigieuses. La Chambre d'accusation n'a pas tranché ce point et sa décision, même si elle n'est pas dépourvue d'ambiguïté, ne préjuge pas de la décision à prendre par le Juge d'instruction. Si celui-ci, au terme des investigations ordonnées par la Chambre d'accusation, parvient à la conclusion que les informations contenues dans les disquettes litigieuses ont déjà été transmises à l'Etat requérant par une décision de clôture entrée en force, il lui suffira de constater ce fait. Si, en revanche, il se confirmait que par la remise du 20 février 2001, l'Etat requérant a reçu des informations nouvelles, se poserait alors la question de savoir si une telle transmission devait se faire ou non par les voies de l'entraide judiciaire et donner lieu au prononcé d'une décision de clôture. Dans l'affirmative, il conviendrait de s'interroger sur la possibilité de guérir après coup une transmission irrégulière parce que prématurée, si toutes les conditions de l'entraide étaient remplies.</w:t>
      </w:r>
    </w:p>
    <w:p>
      <w:r>
        <w:rPr>
          <w:b/>
        </w:rPr>
        <w:t>E. 1.3</w:t>
      </w:r>
    </w:p>
    <w:p>
      <w:r>
        <w:t>La décision attaquée, de nature incidente, ne cause aux recourantes aucun dommage irréparable, par quoi il faut entendre, au sens de l' art. 101 let. a OJ mis en relation avec l' art. 45 al. 1 PA , l'intérêt de fait à l'annulation ou à la modification de la décision attaquée ( ATF 120 Ib 97 consid. 1c p. 100; 116 Ib 344 consid. 1c p. 347/348). En effet, les recourantes n'exposent pas être confrontées à des difficultés quelconques liées à la prolongation - qui ne devrait pas être nécessairement longue - de procédures engagées depuis près de quatre ans. Un tel dommage n'est au demeurant pas discernable.</w:t>
      </w:r>
    </w:p>
    <w:p>
      <w:r>
        <w:rPr>
          <w:b/>
        </w:rPr>
        <w:t>E. 1.4</w:t>
      </w:r>
    </w:p>
    <w:p>
      <w:r>
        <w:t>Le recours est ainsi irrecevable au regard de l' art. 101 let. a OJ , mis en relation avec l' art. 45 al. 2 PA , sans qu'il soit nécessaire d'approfondir les points de savoir si la remise du 20 février 2001 devait être assimilée à une décision de clôture au sens de l' art. 80d EIMP , si le délai de recours a été respecté dans la procédure cantonale et si les recourantes avaient qualité pour agir au regard de l' art. 80h let. b EIMP .</w:t>
      </w:r>
    </w:p>
    <w:p>
      <w:r>
        <w:rPr>
          <w:b/>
        </w:rPr>
        <w:t>E. 2</w:t>
      </w:r>
    </w:p>
    <w:p>
      <w:r>
        <w:t>Les frais sont mis à la charge des recourantes ( art. 156 OJ ), ainsi qu'une indemnité à verser à l'intimé C.________ à titre de dépens ( art. 159 OJ ). Il n'y a pas lieu d'allouer des dépens à l'intimé D.________, qui s'en est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