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1A.35/2000 vom 19. Juni 2000</w:t>
      </w:r>
    </w:p>
    <w:p>
      <w:r>
        <w:t>Bundesgericht, 2000-06-19, FR</w:t>
      </w:r>
    </w:p>
    <w:p>
      <w:r>
        <w:rPr>
          <w:b/>
        </w:rPr>
        <w:t xml:space="preserve">Quelle: </w:t>
      </w:r>
      <w:r>
        <w:t>https://mcp.opencaselaw.ch/entscheid/bger_1A.35_2000</w:t>
      </w:r>
    </w:p>
    <w:p>
      <w:r>
        <w:t>FR: TF 1A.35/2000 du 19 juin 2000</w:t>
      </w:r>
    </w:p>
    <w:p>
      <w:r>
        <w:t>IT: TF 1A.35/2000 del 19 giugno 2000</w:t>
      </w:r>
    </w:p>
    <w:p>
      <w:pPr>
        <w:pStyle w:val="Heading2"/>
      </w:pPr>
      <w:r>
        <w:t>Regeste</w:t>
      </w:r>
    </w:p>
    <w:p>
      <w:r>
        <w:t>Entraide et extradition</w:t>
      </w:r>
    </w:p>
    <w:p>
      <w:pPr>
        <w:pStyle w:val="Heading2"/>
      </w:pPr>
      <w:r>
        <w:t>Erwägungen</w:t>
      </w:r>
    </w:p>
    <w:p>
      <w:r>
        <w:rPr>
          <w:b/>
        </w:rPr>
        <w:t>E. 1</w:t>
      </w:r>
    </w:p>
    <w:p>
      <w:r>
        <w:t>a) A teneur de l' art. 37 al. 3 OJ , l'arrêt est rédigé dans une langue officielle, soit, en règle générale, celle de la décision attaquée. En l'espèce, la procédure d'exécution de la demande a été ouverte en français, langue dans laquelle ont été rendues les décisions incidentes et l'arrêt du 29 septembre 1999. Par la suite, sans doute pour des motifs liés à l'organisation interne du Ministère public, celui-ci a rendu la décision attaquée en allemand. Cela étant, l'économie et le principe de célérité de la procédure (cf. art. 17a al. 1 EIMP ) commandent de statuer en français, qui est aussi la langue des mandataires des recourantes. b) Les écritures déposées par les recourantes les 28 mars, 10 et 11 mai 2000, sans y avoir été invitées, sont irrecevables. Elles sont écartées de la procédure. Il n'y a pas lieu d'ordonner un nouvel échange d'écritures au sujet de ces pièces qui ne sont pas déterminantes pour le sort du recours.</w:t>
      </w:r>
    </w:p>
    <w:p>
      <w:r>
        <w:rPr>
          <w:b/>
        </w:rPr>
        <w:t>E. 2</w:t>
      </w:r>
    </w:p>
    <w:p>
      <w:r>
        <w:t>a) La Confédération suisse et la Fédération de Russie sont toutes deux parties à la Convention européenne d'entraide judiciaire en matière pénale (CEEJ; RS 0.351. 1), conclue à Strasbourg le 20 avril 1959 et entrée en vigueur le 20 mars 1967 pour la Suisse et le 9 mars 2000 pour la Russie. Ce traité s'applique en l'espèce, selon la règle "pacta sunt servanda", indépendamment du fait qu'il n'était pas en vigueur pour la Russie au moment où le Ministère public a statué (cf. consid. 4 non publié de l' ATF 125 II 356 ). Les dispositions de la CEEJ l'emportent sur le droit autonome qui régit la matière, soit l'EIMP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sous réserve du respect des droits fondamentaux ( ATF 123 II 595 consid. 7c p. 617). b) Les recourantes ont qualité pour agir, selon l' art. 80h let. b EIMP , mis en relation avec l' art. 9a let. b OEIMP , contre la transmission de la documentation relative à leur activité commerciale, saisie lors de la perquisition du 1er juillet 1999. Elles sont aussi recevables à agir, selon l' art. 80h let. b EIMP , mis en relation avec l' art. 9a let. a OEIMP , contre la transmission de la documentation relative aux comptes bancaires dont elles sont titulaires ( ATF 125 II 356 consid. 3b/bb p. 362; 123 II 161 consid. 1d/aa p. 164; 122 II 130 consid. 2a p. 132/133). Elles sont aussi habilitées à agir contre la transmission des procès-verbaux relatant les auditions de F.________ et M.________, directeur et administrateur des recourantes, pour autant que ces déclarations concernent celles-ci. En tant que personnes morales, les recourantes n'ont pas qualité pour invoquer l' art. 2 let. a EIMP , excluant l'entraide lorsque la procédure étrangère n'est pas conforme aux principes de procédure garantis par la CEDH et le Pacte ONU II ( ATF 125 II 356 consid. 3b/bb p. 362; 115 Ib 68 consid. 6 p. 86/87). En effet, il ne se justifie pas de reconnaître la qualité pour agir sous l'angle de l' art. 2 EIMP à des personnes morales qui ne peuvent alléguer aucun intérêt digne de protection, lié à leur situation concrète, pour se prévaloir d'une norme destinée avant tout à protéger l'accusé dans la procédure étrangère. L'intervention des recourantes tend à défendre la loi, l'ordre public ou les droits de Berezovski; cela ne fonde pas cependant leur qualité pour agir au regard de l' art. 80h let. b EIMP , mis en relation avec l' art. 103 let. a OJ ( ATF 125 II 356 consid. 3b/bb p. 362/363). c)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et ne peut que déterminer s'ils constituent une infraction, tels qu'ils sont présentés dans la demande. Cette autorité ne peut s'écarter des faits décrits par l'Etat requérant qu'en cas d'erreurs, lacunes ou contradictions évidentes et immédiatement établies ( ATF 118 Ib 111 consid. 5b p. 121/122; 117 Ib 64 consid. 5c p. 88 et les arrêts cités).</w:t>
      </w:r>
    </w:p>
    <w:p>
      <w:r>
        <w:rPr>
          <w:b/>
        </w:rPr>
        <w:t>E. 3</w:t>
      </w:r>
    </w:p>
    <w:p>
      <w:r>
        <w:t>Les recourantes se plaignent que la décision attaquée est rédigée en allemand, alors que les locaux perquisitionnés se trouvent dans le canton de Vaud, dont la langue est le français. Elles reprochent au Ministère public d'avoir violé les art. 70 Cst. et 37 PA sous cet aspect. a) Dans les domaines qui relèvent de la juridiction administrative fédérale, le recours de droit administratif permet aussi de soulever le grief tiré de la violation des droits constitutionnels en relation avec l'application du droit fédéral ( ATF 125 II 1 consid. 2a p. 5; 124 II 120 consid. 4a p. 121; 123 II 8 consid. 2 p. 11, et les arrêts cités). b) A teneur de l' art. 70 al. 1 Cst. , les langues officielles de la Confédération sont l'allemand, le français et l'italien, le romanche étant aussi langue officielle dans les rapports que la Confédération entretient avec les personnes de langue romanche. Cette disposition ne règle pas expressément le point soulevé par les recourantes. On peut d'ailleurs se demander si celles-ci, en tant que personnes morales, sont titulaires de ce droit (Andreas Auer/Giorgio Malinverni/Michel Hottelier, Droit constitutionnel suisse, Berne, 2000, vol. II, n°944, l'affirment, mais sans autre démonstration). Cette question souffre de rester indécise en l'espèce. Selon la jurisprudence, lorsqu'elle correspond avec un citoyen, l'administration fédérale doit utiliser celle des langues officielles dans laquelle s'exprime le destinataire de la communication ( ATF 108 V 208 , concernant l'application des art. 84 et 97 LAVS , ainsi que de l' art. 128 RAVS ). Ce principe est concrétisé, dans le domaine de l'entraide judiciaire, par l' art. 37 PA (applicable par renvoi de l'art. 12 al. 1EIMP au Ministère public comme autorité administrative fédérale par renvoi de l' art. 12 al. 1 EIMP ), aux termes duquel les autorités fédérales notifient leurs décisions dans la langue officielle en laquelle les parties ont pris ou prendraient leurs conclusions. c) En principe, la décision attaquée aurait dû être rendue en français, langue dans laquelle les mandataires des recourantes avaient pris leurs conclusions dans la phase antérieure de la procédure. Il faut cependant tenir compte du fait que l'affaire, à l'origine circonscrite dans le canton de Vaud sur le territoire duquel ont été exécutées les premières mesures de contrainte, a pris par la suite une dimension nationale dès qu'elle a concerné des établissements bancaires et des sociétés établies en Suisse alémanique. Deux mandataires au moins sont intervenus dans les diverses procédures en allemand, ainsi que le représentant de sociétés titulaires de comptes saisis. Pour faire face à cette situation particulière, le Ministère public avait de bonnes raisons de traiter l'ensemble des procédures dans une seule langue, plutôt que d'adresser à chaque partie toutes les communications dans sa langue, comme l'auraient voulu les recourantes. Une dérogation sur ce point à l' art. 37 PA s'imposait aussi au regard du principe de la célérité de la procédure ( art. 17a al. 1 EIMP ). La notification de la décision de clôture en allemand n'a au demeurant causé aucun préjudice procédural aux recourantes, qui ne parlent pas un idiome particulier. Enfin, la procédure de recours a été conduite en français, langue dans laquelle est rédigé le présent arrêt, ce qui atténue, dans une large mesure, l'inconvénient dénoncé par les recourantes.</w:t>
      </w:r>
    </w:p>
    <w:p>
      <w:r>
        <w:rPr>
          <w:b/>
        </w:rPr>
        <w:t>E. 4</w:t>
      </w:r>
    </w:p>
    <w:p>
      <w:r>
        <w:t>De l'avis de celles-ci, la décision du 23 juin 1999 par laquelle l'Office fédéral a délégué l'exécution de la demande au Ministère public serait viciée, les conditions de l' art. 79 al. 1 EIMP n'étant, selon elles, pas remplies en l'espèce. Les recourantes perdent cependant de vue que la délégation de l'exécution ne peut pas faire l'objet d'un recours, sur le vu du texte limpide de l' art. 79 al. 4 EIMP .</w:t>
      </w:r>
    </w:p>
    <w:p>
      <w:r>
        <w:rPr>
          <w:b/>
        </w:rPr>
        <w:t>E. 5</w:t>
      </w:r>
    </w:p>
    <w:p>
      <w:r>
        <w:t>Selon les recourantes, l'octroi de l'entraide aurait pour effet de vider de sa substance le secret bancaire et de heurter le secret d'affaires, en violation de l'ordre public suisse visé à l' art. 1a EIMP . a) L'Etat requis peut refuser sa coopération si l'exécution de la demande est de nature à porter atteinte à la souveraineté, à la sécurité, à l'ordre public ou à d'autres intérêts essentiels ( art. 2 let. b CEEJ et 1a EIMP). Il est douteux que ce grief soit recevable en l'espèce. En effet, les dispositions invoquées protègent principalement l'Etat requis et subsidiairement la personne accusée dans la procédure pénale étrangère, à l'exclusion des tiers (arrêt non publié F. du 6 mai 1993, consid. 3a). A cela s'ajoute que l' art. 17 al. 1 EIMP prévoit que le Département fédéral de justice et police décide dans le cas prévu par l' art. 1a EIMP , règle qui devrait aussi s'appliquer lorsqu'est en jeu, comme en l'espèce, l' art. 2 let. b CEEJ . Contre la décision du Département fédéral est ouverte la voie du recours administratif au Conseil fédéral selon l'art. 26, première phrase, EIMP (cf. par exemple JAAC 49.85), fermant ainsi la voie du recours de droit administratif. b) Supposé recevable, le grief aurait dû être rejeté. Le dévoilement du secret bancaire ne fait en principe pas obstacle à l'entraide judiciaire, à moins que l'exécution de la demande ne conduise à vider entièrement le secret bancaire de sa substance ( ATF 123 II 153 consid. 7b p. 160; 115 Ib 68 consid. 4b p. 83). Tel n'est manifestement pas le cas lorsque les mesures de contrainte critiquées concernent quelques relations bancaires ( ATF 123 II 153 consid. 7c p. 160/161; cf. aussi, en matière d'entraide administrative, ATF 125 II 83 consid. 5 p. 84/85). Les recourantes ne sauraient sérieusement prétendre que la décision attaquée, portant sur la transmission de la documentation relative à une demi-douzaine de comptes et à une partie de leur documentation commerciale, aurait pour effet de lever le secret bancaire dans une telle mesure que cette institution, comme telle, se trouverait en danger. Les mêmes conclusions s'imposent pour ce qui concerne le secret d'affaires.</w:t>
      </w:r>
    </w:p>
    <w:p>
      <w:r>
        <w:rPr>
          <w:b/>
        </w:rPr>
        <w:t>E. 6</w:t>
      </w:r>
    </w:p>
    <w:p>
      <w:r>
        <w:t>Les recourantes prétendent qu'aucune accusation n'aurait été notifiée à Berezovski, Krasnenker ou Glouchkov. Elles en concluent que la demande devrait être rejetée faute d'une procédure pénale ouverte en Russie. a) Ce grief revient, de manière implicite, à invoquer l' art. 1 al. 1 CEEJ , aux termes duquel l'entraide la plus large possible doit être accordée dans toute procédure visant des infractions (cf. aussi l' art. 1 al. 3 EIMP ). Il découle de ces normes, a contrario, que l'entraide régie par la CEEJ (et, accessoirement, par l'EIMP) est accordée seulement si l'action pénale est ouverte dans l'Etat requérant. Il est douteux que les recourantes soient recevables à soulever ce grief pour la défense de tiers. De toute manière, le recours doit être rejeté sur ce point. Pour qu'une demande d'entraide judiciaire soit recevable sous cet aspect, une inculpation n'est pas indispensable; l'ouverture d'une enquête préliminaire suffit, à condition qu'elle puisse aboutir au renvoi des personnes impliquées devant un tribunal compétent pour connaître des infractions reprochées ( ATF 123 II 161 consid. 3a p. 165; 118 Ib 457 consid. 4b p. 460; 116 Ib 452 consid. 3a p. 460/461; 113 Ib 257 consid. 5 p. 270). b) Pour admettre l'existence d'une procédure pénale dans l'Etat requérant, le Ministère public s'est fondé notamment sur la décision rendue le 18 novembre 1999 par le Juge Volkov, prolongeant jusqu'au 18 juin 2000 le délai pour conclure l'enquête préliminaire, décision confirmée le 22 novembre 1999 par le Procureur adjoint Kolmogorov. Il ressort de ce document que Glouchkov et Krasnenker ont été accusés formellement des délits visés par les art. 171 et 174 CPR. Les recourantes contestent que tel soit le cas, en défendant le point de vue que les transactions concernant Aeroflot étaient licites. Outre que cet argument n'est pas opposable à l'entraide (consid. 2c ci-dessus), la demande et ses compléments contiennent suffisamment d'indications plausibles corroborant le fait que le Juge Volkov mène une enquête effective et sérieuse au sujet du rôle qu'auraient joué Berezovski, Glouchkov et Krasnenker dans la direction des affaires d'Aeroflot. Rien ne permet en tout cas de dire que les soupçons pesant sur eux auraient été inventés de toutes pièces ou participeraient d'une machination politique. c) Dans un second moyen, les recourantes font valoir qu'Aeroflot ne se serait jamais plainte d'avoir subi un quelconque dommage à raison des faits visés dans la demande, comme le démontrerait le fait qu'Aeroflot n'a pas déposé plainte pénale contre Berezovski, Glouchkov ou Krasnenker. Afin de dissiper toute équivoque à ce sujet, le Juge Volkov a indiqué au Ministère public que la nouvelle direction d'Aeroflot avait confirmé le préjudice subi et manifesté son intention de collaborer à la procédure pénale en cours. Le Juge Volkov s'est référé sur ce point à un courrier que lui a adressé le directeur des affaires juridiques d'Aeroflot le 14 décembre 1999. Les recourantes contestent que tel serait véritablement le sens de cette missive, dont la traduction allemande tronquerait le sens, selon elles. Sur ce point, les recourantes jouent sur les mots: quelle que soit la traduction retenue, il n'en demeure pas moins qu'Aeroflot - contrairement à ce qu'affirment les recourantes - ne prétend pas qu'aucun délit n'aurait été commis à ses dépens; elle évoque clairement, dans le courrier en question, l'existence d'un préjudice justifiant, selon le résultat des investigations du juge, le dépôt d'une plainte pénale.</w:t>
      </w:r>
    </w:p>
    <w:p>
      <w:r>
        <w:rPr>
          <w:b/>
        </w:rPr>
        <w:t>E. 7</w:t>
      </w:r>
    </w:p>
    <w:p>
      <w:r>
        <w:t>Pour les recourantes, la condition de la double incrimination ne serait pas remplie en l'espèce. 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l'Etat requis.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Ainsi, même dans les relations avec des Etats liés à la Suisse par la CEEJ, et contrairement à ce que le libellé de la réserve émise à propos de l' art. 5 al. 1 let. a CEEJ pourrait laisser penser, l'autorité suisse se borne à examiner la punissabilité selon le droit suisse, sans avoir à contrôler de surcroît si les faits poursuivis dans l'Etat requérant sont aussi punissables selon le droit de ce dernier ( ATF 116 Ib 89 consid. 3c/aa p. 94, et les arrêts cités; cf. aussi ATF 124 II 184 consid. 4b p. 186/187). Il n'est fait exception à cette règle que dans le cas où il ressortirait de la demande, de manière claire et évidente, que les faits ne seraient manifestement pas punissables dans l'Etat requérant, au point de faire apparaître la démarche de celui-ci comme abusive (cf. Robert Zimmermann, La coopération judiciaire internationale en matière pénale, Berne, 1999, n°349). La condition de la double incrimination s'examine selon le droit en vigueur dans l'Etat requis au moment où est prise la décision relative à la coopération, et non selon le droit en vigueur au moment de la commission de l'éventuelle infraction ou à la date de la demande ( ATF 122 II 422 consid. 2a p. 424; 112 Ib 576 consid. 2 p. 584).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effet, la coopération internationale ne doit pas être entravée par les différences de concepts juridiques utilisés dans les deux Etats concernés. b) La demande a été présentée pour les besoins de la procédure ouverte dans l'Etat requérant du chef de fraude et de blanchiment au sens des art. 159 et 174 CPR. La demande du 5 mai 1999 se réfère expressément à ces dispositions. Dans le complément du 12 novembre 1999, le Juge Volkov a précisé que l'accusation d'infraction à l'art. 174 CPR avait été abandonnée pour ce qui concernait Berezovski uniquement, sous réserve du dévoilement de preuves nouvelles. Constitue une fraude au sens de l'art. 159 CPR la soustraction de la propriété d'autrui ou l'acquisition d'un droit sur la propriété d'autrui par le moyen de la tromperie ("Täuschung", selon la traduction allemande de cette disposition) ou de l'abus de confiance. Ce délit est passible de l'amende, de l'astreinte au travail, de l'emprisonnement ou de la réclusion jusqu'à trois ans (art. 159 al. 1 CPR). Si les circonstances aggravantes visées aux al. 2 et 3 de cette disposition sont réalisées, la peine maximale de réclusion est de six à dix ans. L'art. 174 CPR réprime la légalisation (blanchiment) d'argent acquis de manière illégale. L'infraction est consommée lorsqu'une personne utilise à des fins financières ou commerciales des sommes d'argent ou d'autres biens en sachant leur origine illégale ("..in Kenntnis der Tatsache, dass sie auf ungesetzlichem Weg erworben wurden"). Elle est passible d'une sanction pécuniaire, d'une astreinte au travail ou d'une peine privative de liberté allant jusqu'à quatre ans de réclusion. Ces peines peuvent aller jusqu'à huit et dix ans de réclusion si les circonstances aggravantes visées aux al. 2 et 3 de l'art. 174 CPR sont réalisées. c) Selon la décision attaquée, les faits décrits dans la demande et ses compléments auraient pu, s'ils avaient été commis en Suisse, tomber sous le coup des art. 314 CP (gestion déloyale des intérêts publics) et 312 CP (abus d'autorité), mis en relation avec les art. 146 CP (escroquerie) et 305bis CP (blanchissage d'argent). Les recourantes critiquent cette appréciation, en exposant que Berezovski, Glouchkov et Krasnenker ne pourraient, faute pour eux d'être fonctionnaires, avoir commis des délits semblables à ceux réprimés par les art. 312 et 314 CP . Il est constant que la collectivité publique - soit la Fédération de Russie - détient la majorité du capital-actions d'Aeroflot, qui présente ainsi les traits d'une société d'économie mixte. Même si les dirigeants d'Aeroflot ne peuvent être qualifiés de fonctionnaires - ni au regard du droit russe, ni au regard du droit suisse -, il n'est cependant pas exclu d'emblée qu'ils puissent être assimilés aux membres de l'autorité ou aux fonctionnaires au sens des art. 312ss CP (arrêt non publié D. du 16 septembre 1999, concernant le dirigeant, poursuivi pour corruption passive, d'une société aérienne constituée sous la forme d'une société d'économie mixte dont l'Etat détient la majorité du capital-actions; cf. ATF 113 Ib 175 consid. 7b p. 181/182). Cela étant, même à supposer que les faits reprochés à Berezovski, à Glouchkov et à Krasnenker ne puissent tomber sous le coup des art. 312 et 314 CP pour le motif indiqué par les recourantes, il resterait à envisager l'application, dans des circonstances semblables, de l' art. 158 CP réprimant la gestion déloyale. En effet, le procédé consistant, pour le dirigeant d'une société, à détourner à son profit une partie des avoirs et des bénéfices de la société lèse les intérêts de celle-ci au sens de l' art. 158 ch. 1 CP (cf. ATF 120 IV 190 consid. 2b p. 192-194). La condition de la double incrimination serait ainsi réalisée à cet égard (cf. aussi ATF 110 Ib 173 consid. 5b p. 181/182; 105 Ib 418 consid. 5b/aa p. 427/428), sans qu'il soit de surcroît nécessaire d'examiner si elle l'est aussi au regard de l' art. 146 CP réprimant l'escroquerie.</w:t>
      </w:r>
    </w:p>
    <w:p>
      <w:r>
        <w:rPr>
          <w:b/>
        </w:rPr>
        <w:t>E. 8</w:t>
      </w:r>
    </w:p>
    <w:p>
      <w:r>
        <w:t>Les recourantes se plaignent d'une violation du principe de la proportionnalité. a) 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d'aller au-delà des requêtes qui lui sont adressées et d'accorder à l'Etat requérant plus qu'il n'a demandé ( ATF 121 II 241 consid. 3a p. 243; 118 Ib 111 consid. 6 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d'entraide (arrêt non publié D. du 7 décembre 1998, consid. 5). Il incombe à la personne visée de démontrer, de manière claire et précise, en quoi les documents et informations à transmettre excéderaient le cadre de la demande ou ne présenteraient aucun intérêt pour la procédure étrangère ( ATF 122 II 367 consid. 2d p. 371/372). Lorsque la demande vise à éclaircir le cheminement de fonds d'origine délictueuse, il convient d'informer l'Etat requérant de toutes les transactions opérées au nom des sociétés et des comptes impliqués dans l'affaire ( ATF 121 II 241 consid. 3c p. 244). b) Dans la mesure où les recourantes soutiennent que la mesure de séquestre visant leurs comptes devrait être levée parce qu'il n'existerait aucun indice de délit, tant en Russie qu'en Suisse, leur argumentation recoupe les griefs évoqués précédemment. Pour le surplus, le séquestre des comptes répond aux mesures visées dans la demande. Selon les résultats de la procédure ouverte en Russie, il est possible que l'Etat requérant puisse un jour demander la confiscation des montants provenant d'une activité délictueuse, en vue de restitution ou de confiscation. c) Sous l'angle de l' art. 1a EIMP , les recourantes soutiennent que la documentation transmise, concernant des informations confidentielles au sujet de leur activité commerciale, ne présenterait aucun lien avec l'affaire et notamment avec Aeroflot. Elles reprochent à cet égard au Ministère public de ne pas avoir procédé au tri des pièces à remettre à l'Etat requérant. Ce grief revient à remettre en cause la proportionnalité de la décision attaquée. aa) La participation du détenteur au tri des pièces à remettre à l'Etat requérant découle, au premier chef, de son droit d'être entendu ( ATF 116 Ib 190 consid. 5b p. 191/ 192). Cette participation doit aussi être conçue comme un corollaire de la règle de la bonne foi régissant les rapports mutuels entre l'Etat et les particuliers ( art. 5 al. 3 Cst. ), en ce sens que ceux-ci sont tenus de collaborer à l'application correcte du droit par l'autorité.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procédure ancré à l' art. 17a al. 1 EIMP . Cette obligation est applicable non seulement dans la procédure du recours de droit administratif ( ATF 122 II 367 consid. 2d p. 371/372),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Dans ce sens, le tri des pièces n'est pas l'affaire exclusive de l'autorité d'exécution. Encore faut-il que celle-ci donne au détenteur l'occasion, concrète et effective, de se déterminer à ce sujet, afin de permettre au détenteur d'exercer son droit d'être entendu et de satisfaire à son obligation de coopérer à l'exécution de la demande. bb) Les recourantes ont disposé du temps nécessaire pour exercer pleinement leur droit d'être entendues, le Ministère public les ayant autorisées à consulter les pièces saisies, sans restrictions, du 13 septembre au 8 octobre 1999. Ce délai doit être tenu pour largement suffisant, quand bien même le séquestre a porté sur une très grande quantité de pièces. cc) Le 7 septembre 1999, le Ministère public a autorisé la consultation du dossier et invité les recourantes à se déterminer sur l'entraide et la possibilité d'une exécution simplifiée de la demande selon l' art. 80c EIMP . Le 24 novembre 1999, le Ministère public a invité les mandataires des recourantes à un entretien, au cours duquel ceux-ci ont été derechef invités à se prononcer sur la transmission des pièces saisies à l'Etat requérant. Les recourantes n'ont pas donné suite à ces invitations et ne se sont pas déterminées sur le tri des pièces. Tout au plus ont-elles requis le Ministère public, le 1er décembre 1999, de lever le séquestre des fonds pour un montant de 28'700'000 fr., en échange de quoi elles étaient prêtes à consentir à la remise d'un lot de documents. Cette offre n'a pas permis pas au Ministère public de discerner les raisons précises pour lesquelles les recourantes entendaient s'opposer à la remise de telle ou telle pièce. En agissant comme elles l'ont fait, les recourantes ont renoncé à exercer pleinement leur droit de participer au tri des pièces et négligé leur devoir de coopération avec le Ministère public. Tolérer un tel comportement procédural reviendrait à donner au détenteur de documents et de fonds saisis le moyen d'empêcher l'autorité d'exécution de statuer rapidement, comme l'exige l' art. 17a al. 1 EIMP . En omettant sciemment de se déterminer devant l'autorité d'exécution - ou, du moins, en retardant indûment leur réponse à ce sujet - les recourantes ont entravé la tâche du Ministère public, lequel aurait eu intérêt, avant de prononcer la décision attaquée, à connaître les arguments des recourantes, exposés de manière claire et précise. Le particulier qui, à tort ou à raison, redoute une violation, à son détriment, du principe de la proportionnalité, ne peut cacher ses observations à l'autorité d'exécution pour les réserver exclusivement à l'autorité de recours. Cela aurait pour conséquence, en l'espèce, de faire du Tribunal fédéral l'instance unique du tri des pièces, ce qui n'est pas compatible avec le système de l'EIMP. Les recourantes ayant pris le risque de ne pas se déterminer devant le Ministère public comme ils auraient dû le faire, elles doivent en assumer les conséquences. d) Au demeurant, les recourantes ne démontrent pas que les documents saisis ne concerneraient pas l'affaire, contrairement à l'obligation que leur impose la jurisprudence qui vient d'être rappelée. Le critère du défaut de lien avec Aeroflot est inopérant, car il ne permet pas de déterminer de manière claire quels documents pourraient être transmis et lesquels ne pourraient l'être. D'un côté, la seule mention du nom d'Aeroflot dans un document ne signifie pas encore qu'il concerne les relations entre les recourantes et Aeroflot. A l'inverse, des documents ne citant aucun de ces noms pourraient remplir le critère préconisé par les recourantes. Pour comprendre les tenants et les aboutissants des opérations effectuées entre Aeroflot, les sociétés Forus et les recourantes, des investigations étendues sont nécessaires pour retracer le cheminement exact des fonds, déterminer, de manière précise, les mécanismes des transactions intervenues et éclaircir le rôle de chacun des protagonistes. Cela peut justifier, selon les circonstances, de remettre des documents qui, sans mentionner Aeroflot, concernent des aspects collatéraux des faits qui sont à l'origine de la demande et éclairent le mode opératoire utilisé. La transmission d'une partie de la comptabilité des recourantes peut entrer dans ce cadre, afin d'établir l'utilisation des fonds, notamment pour déterminer quel usage exact en ont fait les destinataires du produit de l'infraction. e) Les recourantes s'inquiètent du sort des documents les concernant, dont la décision attaquée ne trancherait pas le sort. Le dispositif de la décision attaquée est clair. Quant aux autres pièces saisies, elles font (ou feront) l'objet de décisions séparées, dont le sort est exorbitant au présent litige.</w:t>
      </w:r>
    </w:p>
    <w:p>
      <w:r>
        <w:rPr>
          <w:b/>
        </w:rPr>
        <w:t>E. 9</w:t>
      </w:r>
    </w:p>
    <w:p>
      <w:r>
        <w:t>Dans une conclusion subsidiaire, les recourantes demandent à ce que ne soient transmis à l'Etat requérant que des copies certifiées conformes des documents saisis. Conformément à l'art. 3 al. 3, première phrase, CEEJ, le Ministère public ne transmettra à l'Etat requérant que des copies certifiées conformes des documents saisis. Il devra toutefois conserver les originaux, pour le cas où les autorités de l'Etat requérant en demanderaient la production (art. 3 al. 3, deuxième phrase, CEEJ). Le Ministère public devrait être en mesure d'établir une nouvelle série de copie des documents transmis, soit au moment de la communication elle-même, soit après celle-ci. Cela étant, il va de soi que les frais en seront supportés par les recourantes, comme le prévoit l'ordonnance sur les frais et indemnités en procédure administrative, du 10 septembre 1969 (RS 172. 041.0), à laquelle il n'y a pas lieu de déroger en l'espèce.</w:t>
      </w:r>
    </w:p>
    <w:p>
      <w:r>
        <w:rPr>
          <w:b/>
        </w:rPr>
        <w:t>E. 10</w:t>
      </w:r>
    </w:p>
    <w:p>
      <w:r>
        <w:t>La requête tendant au dépôt de sûretés a perdu son objet, pour autant qu'elle était recevable.</w:t>
      </w:r>
    </w:p>
    <w:p>
      <w:r>
        <w:rPr>
          <w:b/>
        </w:rPr>
        <w:t>E. 11</w:t>
      </w:r>
    </w:p>
    <w:p>
      <w:r>
        <w:t>Le recours doit être rejeté dans la mesure où il est recevable. Les frais en sont mis à la charge de la recourante ( art. 156 al. 1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