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1A.33/2005 vom 15. März 2005</w:t>
      </w:r>
    </w:p>
    <w:p>
      <w:r>
        <w:t>Bundesgericht, 2005-03-15, FR</w:t>
      </w:r>
    </w:p>
    <w:p>
      <w:r>
        <w:rPr>
          <w:b/>
        </w:rPr>
        <w:t xml:space="preserve">Quelle: </w:t>
      </w:r>
      <w:r>
        <w:t>https://mcp.opencaselaw.ch/entscheid/bger_1A.33_2005</w:t>
      </w:r>
    </w:p>
    <w:p>
      <w:r>
        <w:t>FR: TF 1A.33/2005 du 15 mars 2005</w:t>
      </w:r>
    </w:p>
    <w:p>
      <w:r>
        <w:t>IT: TF 1A.33/2005 del 15 marzo 2005</w:t>
      </w:r>
    </w:p>
    <w:p>
      <w:pPr>
        <w:pStyle w:val="Heading2"/>
      </w:pPr>
      <w:r>
        <w:t>Erwägungen</w:t>
      </w:r>
    </w:p>
    <w:p>
      <w:r>
        <w:rPr>
          <w:b/>
        </w:rPr>
        <w:t>E. 1</w:t>
      </w:r>
    </w:p>
    <w:p>
      <w:r>
        <w:t>L'entraide judiciaire entre la République française et la Confédération est régie par la CEEJ, ainsi que l'accord bilatéral complétant cette Convention (ci-après: l'Accord complémentaire; RS 0.351.934.92), conclu le 28 octobre 1996 et entré en vigueur le 1er mai 2000. Les dispositions de ces traités l'emportent sur le droit autonome qui régit la matière, soit l'EIMP et son ordonnance d'exécution (OEIMP; RS 351.11). Celles-ci restent toutefois applicables aux questions non réglées, explicitement ou implicitement, par le droit conventionnel, et lorsque le droit interne est plus favorable à l'entraide que le traité ( ATF 123 II 134 consid. 1a p. 136; 122 II 140 consid. 2 p. 142; 120 Ib 120 consid. 1a p. 122/123, et les arrêts cités).</w:t>
      </w:r>
    </w:p>
    <w:p>
      <w:r>
        <w:rPr>
          <w:b/>
        </w:rPr>
        <w:t>E. 2</w:t>
      </w:r>
    </w:p>
    <w:p>
      <w:r>
        <w:t>La décision par laquelle, comme en l'occurrence, l'autorité cantonale de recours n'entre pas en matière sur un recours au sens de l' art. 23 EIMP , est attaquable par la voie du recours de droit administratif ( ATF 128 II 211 consid. 2.2 p. 216/217; 122 II 130 consid. 1 p. 132). En tant que parties à la procédure cantonale, les recourantes ont qualité pour agir à cet égard ( ATF 124 II 124 consid. 1b p. 126).</w:t>
      </w:r>
    </w:p>
    <w:p>
      <w:r>
        <w:rPr>
          <w:b/>
        </w:rPr>
        <w:t>E. 3</w:t>
      </w:r>
    </w:p>
    <w:p>
      <w:r>
        <w:t>Le titulaire du compte a qualité pour agir, au sens de l' art. 80h let. b EIMP , mis en relation avec l' art. 9a let. a OEIMP , contre la transmission de la documentation bancaire et la saisie des comptes ( ATF 130 II 162 consid. 1.1 p. 164; 127 II 198 consid. 2d p. 205; 126 II 258 consid. 2d/aa p. 260, et les arrêts cités). L'ayant droit économique n'est en revanche pas habilité à recourir ( ATF 123 II 153 consid. 2b p. 156/157; 122 II 130 consid. 2b p. 132/133). La jurisprudence reconnaît exceptionnellement la qualité pour agir à l'ayant droit de la personne morale lorsque celle-ci a été dissoute, sous réserve de l'abus de droit ( ATF 123 II 153 consid. 2c et dd p. 157/158). Il appartient à l'ayant droit de prouver la liquidation, documents officiels à l'appui. Celle-ci est abusive lorsqu'elle est intervenue, sans raison économique apparente, dans un délai proche de l'ouverture de l'action pénale dans l'Etat requérant. Il faut en outre que l'acte de dissolution indique clairement l'ayant droit comme son bénéficiaire (arrêt 1A.212/2001 du 21 mars 2002, consid. 1.3.2, et les arrêts cités).</w:t>
      </w:r>
    </w:p>
    <w:p>
      <w:r>
        <w:t>G.________ et F.________, sociétés des Iles Vierges britanniques et d'Irlande, sont titulaires des comptes visés par la décision de clôture. Or, elles ont été dissoutes, les 4 février 2002 et 8 janvier 1999. Hormis un extrait du registre du commerce irlandais et d'un certificat attestant la dissolution, les recourants ne fournissent aucun document propre à prouver que l'un ou l'autre d'entre eux en ait été désigné comme bénéficiaire. Les recourants contestent toutefois cette exigence, en exposant qu'elle serait impossible à réaliser, l'acte de dissolution n'ayant pas pour objet de régler le sort des biens détenus par la société.</w:t>
      </w:r>
    </w:p>
    <w:p>
      <w:r>
        <w:t>Il n'est pas nécessaire d'approfondir cette question. En effet, quoi qu'il en soit, la dissolution des titulaires des comptes est intervenue, pour ce qui concerne F.________, à l'époque où les premières poursuites pénales ont été engagées contre B.________, dans un autre cadre, et pour ce qui concerne G.________, peu avant l'ouverture des poursuites contre C.________. La dissolution, dont les recourants n'indiquent pas les raisons, avait ainsi vraisemblablement pour but d'effacer toute trace de l'implication de B.________ dans la gestion de F.________ et de G.________. Il est dès lors abusif de sa part de s'en prévaloir pour s'opposer à l'entraide.</w:t>
      </w:r>
    </w:p>
    <w:p>
      <w:r>
        <w:rPr>
          <w:b/>
        </w:rPr>
        <w:t>E. 4</w:t>
      </w:r>
    </w:p>
    <w:p>
      <w:r>
        <w:t>Le titulaire du compte a qualité pour recourir contre la transmission du procès-verbal relatant les déclarations de témoins, si cela équivaut matériellement à la remise de la documentation bancaire ( ATF 124 II 180 consid. 2b et c p. 182/183). Cette jurisprudence n'est d'aucun secours pour les recourants dans la mesure où ceux-ci entendent contester la transmission aux autorités françaises des procès-verbaux consignant les déclarations faites par les employés des établissements bancaires concernés. En effet, les recourants ne sont pas titulaires des comptes visés dans la demande, ni habilités à agir à leur place, comme on vient de le voir.</w:t>
      </w:r>
    </w:p>
    <w:p>
      <w:r>
        <w:rPr>
          <w:b/>
        </w:rPr>
        <w:t>E. 5</w:t>
      </w:r>
    </w:p>
    <w:p>
      <w:r>
        <w:t>Le recours doit ainsi être rejeté.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