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1A.33/2004 vom 12. Januar 2005</w:t>
      </w:r>
    </w:p>
    <w:p>
      <w:r>
        <w:t>Bundesgericht, 2005-01-12, DE</w:t>
      </w:r>
    </w:p>
    <w:p>
      <w:r>
        <w:rPr>
          <w:b/>
        </w:rPr>
        <w:t xml:space="preserve">Quelle: </w:t>
      </w:r>
      <w:r>
        <w:t>https://mcp.opencaselaw.ch/entscheid/bger_1A.33_2004</w:t>
      </w:r>
    </w:p>
    <w:p>
      <w:r>
        <w:t>FR: TF 1A.33/2004 du 12 janvier 2005</w:t>
      </w:r>
    </w:p>
    <w:p>
      <w:r>
        <w:t>IT: TF 1A.33/2004 del 12 gennaio 2005</w:t>
      </w:r>
    </w:p>
    <w:p>
      <w:pPr>
        <w:pStyle w:val="Heading2"/>
      </w:pPr>
      <w:r>
        <w:t>Regeste</w:t>
      </w:r>
    </w:p>
    <w:p>
      <w:r>
        <w:t>materielle Enteignung | Enteignung</w:t>
      </w:r>
    </w:p>
    <w:p>
      <w:pPr>
        <w:pStyle w:val="Heading2"/>
      </w:pPr>
      <w:r>
        <w:t>Erwägungen</w:t>
      </w:r>
    </w:p>
    <w:p>
      <w:r>
        <w:rPr>
          <w:b/>
        </w:rPr>
        <w:t>E. 1</w:t>
      </w:r>
    </w:p>
    <w:p>
      <w:r>
        <w:t>Mit der nach der Beschwerdeeinreichung erfolgten Umzonung des streitbetroffenen Grundstücks von der Erholungszone in die Wohnzone mit Gewerbeerleichterung fiel das Rechtsschutzinteresse der Beschwerdeführerin an der Behandlung ihrer Verwaltungsgerichtsbeschwerde nachträglich dahin. Die Beschwerde ist deshalb gemäss dem Antrag der Beschwerdeführerin als gegenstandslos geworden abzuschreiben.</w:t>
      </w:r>
    </w:p>
    <w:p>
      <w:r>
        <w:rPr>
          <w:b/>
        </w:rPr>
        <w:t>E. 2.1</w:t>
      </w:r>
    </w:p>
    <w:p>
      <w:r>
        <w:t>Wird ein Rechtsstreit gegenstandslos oder fällt er mangels rechtlichen Interesses dahin, entscheidet das Bundesgericht mit summarischer Begründung über die Prozesskosten ( Art. 40 OG in Verbindung mit Art. 72 BZP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werden und unter Umständen der Entscheid in einer heiklen Rechtsfrage präjudiziert werden.</w:t>
      </w:r>
    </w:p>
    <w:p>
      <w:r>
        <w:rPr>
          <w:b/>
        </w:rPr>
        <w:t>E. 2.2</w:t>
      </w:r>
    </w:p>
    <w:p>
      <w:r>
        <w:t>Der Frage nach dem mutmasslichen Prozessausgang braucht vorliegend nicht weiter nachgegangen zu werden, da keine Parteientschädigungen zuzusprechen und keine Kosten zu erheben sind. Die Beschwerdegegnerin musste sich im bundesgerichtlichen Verfahren einzig zum Sistierungsgesuch äussern. Ihr ist mit der Zustimmung zu diesem Gesuch kein nennenswerter Aufwand entstanden, welcher die Ausrichtung einer Parteientschädigung rechtfertigen würde. Ebenfalls keine Parteientschädigung ist der Beschwerdeführerin auszurichten, da sie weder in ihrer vorsorglich erhobenen Beschwerde noch in ihrem Gesuch um Abschreibung des Verfahrens ein Entschädigungsbegehren gestellt hatte. Hinsichtlich der Verfahrenskosten kann ausnahmsweise auf eine Erhebung verzichtet werden, da die Erledigung der vorsorglich eingereichten Beschwerde nur geringen Aufwand verursachte. Mit Blick auf diese Kostenregelung kann auf eine Vernehmlassung der übrigen Verfahrensbeteiligten zum Gesuch der Beschwerdeführerin um Abschreibung des Verfahrens verzichtet werden (vgl. Art. 72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