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1A.331/2000 vom 29. Oktober 2001</w:t>
      </w:r>
    </w:p>
    <w:p>
      <w:r>
        <w:t>Bundesgericht, 2001-10-29, DE</w:t>
      </w:r>
    </w:p>
    <w:p>
      <w:r>
        <w:rPr>
          <w:b/>
        </w:rPr>
        <w:t xml:space="preserve">Quelle: </w:t>
      </w:r>
      <w:r>
        <w:t>https://mcp.opencaselaw.ch/entscheid/bger_1A.331_2000</w:t>
      </w:r>
    </w:p>
    <w:p>
      <w:r>
        <w:t>FR: TF 1A.331/2000 du 29 octobre 2001</w:t>
      </w:r>
    </w:p>
    <w:p>
      <w:r>
        <w:t>IT: TF 1A.331/2000 del 29 ottobre 2001</w:t>
      </w:r>
    </w:p>
    <w:p>
      <w:pPr>
        <w:pStyle w:val="Heading2"/>
      </w:pPr>
      <w:r>
        <w:t>Erwägungen</w:t>
      </w:r>
    </w:p>
    <w:p>
      <w:r>
        <w:rPr>
          <w:b/>
        </w:rPr>
        <w:t>E. 1</w:t>
      </w:r>
    </w:p>
    <w:p>
      <w:r>
        <w:t>Die Beschwerdeführer bezeichnen ihr Rechtsmittel als "Beschwerde an das Bundesgericht". Das Bundesgericht prüft frei und von Amtes wegen, ob und inwieweit ein bei ihm erhobenes Rechtsmittel als Verwaltungsgerichtsbeschwerde und/oder als staatsrechtliche Beschwerde entgegengenommen werden kann.</w:t>
      </w:r>
    </w:p>
    <w:p>
      <w:r>
        <w:t>a) Das angefochtene Urteil hebt eine vom Wasser- und Energiewirtschaftsamt des Kantons Bern erteilte, durch die Bau-, Verkehrs- und Energiedirektion mit Entscheid vom 16. September 1999 (mit gewissen Änderungen) bestätigte Wasserkraftkonzession auf und weist das Konzessionsgesuch ab, da es den aus Art. 9 Abs. 1 lit. b und d des Bundesgesetzes vom 21. Juni 1991 über die Fischerei (BGF; SR 923. 0) folgenden fischereirechtlichen Anforderungen nicht genüge.</w:t>
      </w:r>
    </w:p>
    <w:p>
      <w:r>
        <w:t>Der angefochtene Entscheid stützt sich insofern auf Bundesverwaltungsrecht und kann mit Verwaltungsgerichtsbeschwerde beim Bundesgericht angefochten werden ( Art. 97 OG i.V.m.</w:t>
      </w:r>
    </w:p>
    <w:p>
      <w:r>
        <w:t>Art. 5 VwVG ). In diesem Verfahren können auch die von den Beschwerdeführern aufgeworfenen Fragen des kantonalen Verfahrensrechts mitbeurteilt werden (vgl. BGE 123 I 275 E. 2e S. 278 mit Hinweis).</w:t>
      </w:r>
    </w:p>
    <w:p>
      <w:r>
        <w:t>b) Es liegt keiner der in Art. 99 ff. OG oder in der Spezialgesetzgebung vorgesehenen Ausschlussgründe vor.</w:t>
      </w:r>
    </w:p>
    <w:p>
      <w:r>
        <w:t>Auf die Beschwerde ist daher grundsätzlich als Verwaltungsgerichtsbeschwerde einzutreten.</w:t>
      </w:r>
    </w:p>
    <w:p>
      <w:r>
        <w:t>c) Nicht einzutreten ist allerdings auf den Antrag der Beschwerdeführer, den vorinstanzlichen Kostenspruch angemessen zu reduzieren: Die Beschwerdeführer legen mit keinem Wort dar, inwiefern die vom Verwaltungsgericht zugesprochene Parteikostenentschädigung auf einer willkürlichen Anwendung kantonalen Rechts beruhe oder in anderer Weise gegen Verfassungsrecht verstosse. Zwar gilt im Verfahren der Verwaltungsgerichtsbeschwerde Art. 90 OG nicht; ohne eine entsprechende, zumindest ansatzweise begründete Rüge besteht aber für das Bundesgericht keine Veranlassung, sich mit dem kantonalen Recht näher zu befassen (vgl. BGE 123 II 359 E. 6b/bb).</w:t>
      </w:r>
    </w:p>
    <w:p>
      <w:r>
        <w:t>d) Die Beschwerdeführer können mit der Verwaltungsgerichtsbeschwerde die Verletzung von Bundesrecht sowie die unrichtige oder unvollständige Feststellung des rechtserheblichen Sachverhaltes rügen ( Art. 104 lit. a und b OG ); die Rüge der Unangemessenheit ( Art. 104 lit. c OG ) ist im vorliegenden Sachzusammenhang nicht gegeben. Soweit die Verletzung selbständigen kantonalen Rechts gerügt wird, kann das Bundesgericht dessen Auslegung und Anwendung nur auf Willkür hin überprüfen ( BGE 125 II 1 E. 2a S. 5 mit Hinweis). Da der angefochtene Entscheid von einer gerichtlichen Instanz ausgeht, ist das Bundesgericht an den festgestellten Sachverhalt gebunden, es sei denn, dieser sei offensichtlich unrichtig, unvollständig oder unter Verletzung wesentlicher Verfahrensbestimmungen festgestellt worden ( Art. 105 Abs. 2 OG ).</w:t>
      </w:r>
    </w:p>
    <w:p>
      <w:r>
        <w:rPr>
          <w:b/>
        </w:rPr>
        <w:t>E. 2</w:t>
      </w:r>
    </w:p>
    <w:p>
      <w:r>
        <w:t>der Ausbildung des Durchflussprofils,</w:t>
      </w:r>
    </w:p>
    <w:p>
      <w:r>
        <w:rPr>
          <w:b/>
        </w:rPr>
        <w:t>E. 3</w:t>
      </w:r>
    </w:p>
    <w:p>
      <w:r>
        <w:t>der Beschaffenheit der Sohle und der Böschungen,</w:t>
      </w:r>
    </w:p>
    <w:p>
      <w:r>
        <w:rPr>
          <w:b/>
        </w:rPr>
        <w:t>E. 4</w:t>
      </w:r>
    </w:p>
    <w:p>
      <w:r>
        <w:t>der Zahl und Gestaltung der Fischunterschlupfe,</w:t>
      </w:r>
    </w:p>
    <w:p>
      <w:r>
        <w:rPr>
          <w:b/>
        </w:rPr>
        <w:t>E. 5</w:t>
      </w:r>
    </w:p>
    <w:p>
      <w:r>
        <w:t>der Wassertiefe und -temperatur,</w:t>
      </w:r>
    </w:p>
    <w:p>
      <w:r>
        <w:rPr>
          <w:b/>
        </w:rPr>
        <w:t>E. 6</w:t>
      </w:r>
    </w:p>
    <w:p>
      <w:r>
        <w:t>Nach dem Gesagten ist die Verwaltungsgerichtsbeschwerde abzuweisen, soweit auf die einzutreten ist. Bei diesem Ausgang des Verfahrens werden die Beschwerdeführer kosten- und entschädigungspflichtig ( Art. 156,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