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1A.32/2005 vom 8. Dezember 2005</w:t>
      </w:r>
    </w:p>
    <w:p>
      <w:r>
        <w:t>Bundesgericht, 2005-12-08, FR</w:t>
      </w:r>
    </w:p>
    <w:p>
      <w:r>
        <w:rPr>
          <w:b/>
        </w:rPr>
        <w:t xml:space="preserve">Quelle: </w:t>
      </w:r>
      <w:r>
        <w:t>https://mcp.opencaselaw.ch/entscheid/bger_1A.32_2005</w:t>
      </w:r>
    </w:p>
    <w:p>
      <w:r>
        <w:t>FR: TF 1A.32/2005 du 8 décembre 2005</w:t>
      </w:r>
    </w:p>
    <w:p>
      <w:r>
        <w:t>IT: TF 1A.32/2005 del 8 dicembre 2005</w:t>
      </w:r>
    </w:p>
    <w:p>
      <w:pPr>
        <w:pStyle w:val="Heading2"/>
      </w:pPr>
      <w:r>
        <w:t>Regeste</w:t>
      </w:r>
    </w:p>
    <w:p>
      <w:r>
        <w:t>autorisation de construire, dérogation hors de la zone à bâtir | Aménagement du territoire et droit public des constructions</w:t>
      </w:r>
    </w:p>
    <w:p>
      <w:pPr>
        <w:pStyle w:val="Heading2"/>
      </w:pPr>
      <w:r>
        <w:t>Erwägungen</w:t>
      </w:r>
    </w:p>
    <w:p>
      <w:r>
        <w:rPr>
          <w:b/>
        </w:rPr>
        <w:t>E. 1</w:t>
      </w:r>
    </w:p>
    <w:p>
      <w:r>
        <w:t>Aux termes de l' art. 34 al. 1 LAT ,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et sur des demandes de dérogation en vertu des art. 24 à 24d LAT. En l'espèce, les autorités cantonales ont traité la demande d'autorisation présentée par la recourante comme une demande de dérogation au sens des art. 24 ss LAT et le Tribunal administratif a considéré que le projet ne satisfaisait pas aux exigences de l' art. 24 LAT . La voie du recours de droit administratif ( art. 97 ss OJ ) est donc ouverte et la propriétaire concernée a qualité pour recourir ( art. 103 let. a OJ ). Il y a donc lieu d'entrer en matière.</w:t>
      </w:r>
    </w:p>
    <w:p>
      <w:r>
        <w:rPr>
          <w:b/>
        </w:rPr>
        <w:t>E. 2</w:t>
      </w:r>
    </w:p>
    <w:p>
      <w:r>
        <w:t>La recourante fait valoir que, même en zone agricole, l'approvisionnement d'un immeuble en eau potable devrait être assuré en tout temps et en quantité suffisante. Il ne s'agit cependant pas, dans la présente affaire, d'examiner de façon générale l'équipement de la parcelle litigieuse mais seulement de se prononcer sur un projet concret d'installation (un abri de 40 m² avec des citernes pouvant contenir 30 m³ d'eau), à un endroit déterminé (à une quinzaine de mètres du bâtiment d'habitation existant), projet décrit dans une demande de permis de construire et déjà partiellement réalisé nonobstant l'absence d'autorisation. La contestation ne porte au demeurant pas sur la possibilité de maintenir un mur de soutènement, élément de la construction litigieuse. Le Tribunal administratif a, dans les considérants de l'arrêt attaqué, prévu que l'ordre de remise en état des lieux contenait une réserve à ce propos. Or, à défaut de recours de droit administratif de la part des autorités concernées - la commune, le département cantonal compétent ou l'Office fédéral du développement territorial -, qui auraient éventuellement pu contester cet élément de l'arrêt attaqué, il n'y a pas lieu d'examiner la portée ni la conformité au droit fédéral de cette réserve.</w:t>
      </w:r>
    </w:p>
    <w:p>
      <w:r>
        <w:rPr>
          <w:b/>
        </w:rPr>
        <w:t>E. 3</w:t>
      </w:r>
    </w:p>
    <w:p>
      <w:r>
        <w:t>La recourante invoque l' art. 24 LAT et allègue un "besoin positif" de pouvoir disposer de citernes assurant l'approvisionnement en eau propre à la consommation dans le cadre de l'habitation actuelle; elle ajoute qu'un ouvrage servant à l'alimentation en eau de son chalet ne pourrait pas être implanté en zone à bâtir, ni même ailleurs sur sa parcelle.</w:t>
      </w:r>
    </w:p>
    <w:p>
      <w:r>
        <w:rPr>
          <w:b/>
        </w:rPr>
        <w:t>E. 3.1</w:t>
      </w:r>
    </w:p>
    <w:p>
      <w:r>
        <w:t>L' art. 24 LAT dispose qu'en dérogation à l' art. 22 al. 2 let. a LAT - qui prévoit qu'une autorisation de construire n'est en principe octroyée que si la construction ou l'installation est conforme à l'affectation de la zone -,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Le bâtiment principal de la recourante, un chalet servant à l'habitation de personnes sans lien direct avec une exploitation agricole, n'est pas une construction dont l'implantation en zone agricole est imposée par sa destination. Un bâtiment annexe dont la seule fonction est d'augmenter le confort ou les possibilités d'utilisation du bâtiment principal, ne remplit à l'évidence pas la condition de l' art. 24 let. a LAT . Il importe peu, de ce point de vue, que ce bâtiment annexe serve à l'approvisionnement en eau du chalet et qu'il puisse être assimilé à une installation d'équipement. De telles installations (des routes privées, notamment), lorsqu'elles visent uniquement à desservir des constructions non conformes à l'affectation de la zone agricole, ne peuvent par principe pas être autorisées sur la base de l' art. 24 LAT (cf. ATF 115 Ib 295 consid. 2c p. 298; 114 Ib 317 consid. 4c-d p. 320; arrêt non publié 1A.256/2004 du 31 août 2005, consid. 5).</w:t>
      </w:r>
    </w:p>
    <w:p>
      <w:r>
        <w:rPr>
          <w:b/>
        </w:rPr>
        <w:t>E. 3.2</w:t>
      </w:r>
    </w:p>
    <w:p>
      <w:r>
        <w:t>Il reste à examiner si la construction litigieuse peut être autorisée sur la base de l' art. 24c al. 2 LAT qui permet à l'autorité compétente d'autoriser la transformation partielle ou l'agrandissement mesuré de constructions et installations existantes sises hors de la zone à bâtir et non conformes à l'affectation de la zone. Le Tribunal administratif n'a pas mentionné expressément l' art. 24c al. 2 LAT , et la recourante ne s'en prévaut pas. Cette norme doit néanmoins être appliquée d'office (cf. art. 114 al. 1 OJ ). Dans l'arrêt attaqué, le Tribunal administratif a considéré que d'autres possibilités existaient pour améliorer les conditions d'alimentation en eau, notamment par l'installation de réservoirs à l'étage inférieur du chalet ou dans le prolongement de ce bâtiment; le stockage et le traitement de l'eau de pluie pourraient ainsi être assurés. On en déduit que, pour la juridiction cantonale, une solution consistant à modifier la destination de locaux du bâtiment existant, reconstruit en 1996, voire à installer des citernes dans un nouveau local qui serait rattaché à ce bâtiment (donc sans créer un nouvel édifice séparé), pourrait éventuellement être autorisée dans le cadre de l' art. 24c al. 2 LAT . Encore faudrait-il que les travaux, pris dans leur ensemble - à savoir en comparant l'ampleur des agrandissements successifs avec l'état initial du chalet, avant la reconstruction autorisée en 1997 -, ne soient pas trop importants (cf. ATF 127 II 215 consid. 3a p. 219 et les arrêts cités). Il ne se justifie pas d'examiner plus avant ces questions dans le présent arrêt. Il suffit en effet de retenir que la solution architecturale choisie par la recourante ne saurait à l'évidence être considérée comme une transformation ou un agrandissement du chalet, au sens de la norme dérogatoire précitée. C'est en outre de manière manifestement non concluante que la recourante affirme que les solutions évoquées par le Tribunal administratif sont irréalisables. L'ébauche de rapport technique qu'elle a joint à son recours - rapport établi par un bureau d'ingénieurs le jour du dépôt du recours en exécution d'un mandat donné la veille, et dont le contenu est pour le moins sommaire -, n'est pas de nature à prouver que seul l'ouvrage litigieux serait adéquat, à cause d'une prétendue évolution des circonstances depuis 1997, pour permettre un approvisionnement suffisant en eau potable et partant à garantir le caractère habitable du chalet.</w:t>
      </w:r>
    </w:p>
    <w:p>
      <w:r>
        <w:rPr>
          <w:b/>
        </w:rPr>
        <w:t>E. 3.3</w:t>
      </w:r>
    </w:p>
    <w:p>
      <w:r>
        <w:t>Le Tribunal administratif a en définitive confirmé le refus d'autorisation sans violer le droit fédéral de l'aménagement du territoire. Vu l'objet de la contestation, il n'avait pas à ordonner d'autres mesures d'instruction; le grief de violation du droit d'être entendu est à cet égard manifestement mal fondé. Quant au grief de violation de l'égalité de traitement, reposant sur le fait qu'un voisin aurait été autorisé à installer des citernes enterrées, d'une contenance au demeurant cinq fois inférieure à celles de la recourante, il est dépourvu de pertinence car il n'est pas question d'une pratique des autorités cantonales, dans l'application des art. 24 ss LAT , consistant à autoriser en zone agricole des constructions telles que le bâtiment litigieux.</w:t>
      </w:r>
    </w:p>
    <w:p>
      <w:r>
        <w:rPr>
          <w:b/>
        </w:rPr>
        <w:t>E. 4</w:t>
      </w:r>
    </w:p>
    <w:p>
      <w:r>
        <w:t>Il s'ensuit que le recours de droit administratif, entièrement mal fondé, doit être rejeté. Le délai d'exécution fixé par le Tribunal administratif dans le dispositif de l'arrêt attaqué doit être prolongé d'office. La recourante, qui succombe, doit supporter les frais du présent arrêt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