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1A.329/2005 vom 24. Februar 2006</w:t>
      </w:r>
    </w:p>
    <w:p>
      <w:r>
        <w:t>Bundesgericht, 2006-02-24, FR</w:t>
      </w:r>
    </w:p>
    <w:p>
      <w:r>
        <w:rPr>
          <w:b/>
        </w:rPr>
        <w:t xml:space="preserve">Quelle: </w:t>
      </w:r>
      <w:r>
        <w:t>https://mcp.opencaselaw.ch/entscheid/bger_1A.329_2005</w:t>
      </w:r>
    </w:p>
    <w:p>
      <w:r>
        <w:t>FR: TF 1A.329/2005 du 24 février 2006</w:t>
      </w:r>
    </w:p>
    <w:p>
      <w:r>
        <w:t>IT: TF 1A.329/2005 del 24 febbraio 2006</w:t>
      </w:r>
    </w:p>
    <w:p>
      <w:pPr>
        <w:pStyle w:val="Heading2"/>
      </w:pPr>
      <w:r>
        <w:t>Erwägungen</w:t>
      </w:r>
    </w:p>
    <w:p>
      <w:r>
        <w:rPr>
          <w:b/>
        </w:rPr>
        <w:t>E. 1</w:t>
      </w:r>
    </w:p>
    <w:p>
      <w:r>
        <w:t>Le recours de droit administratif est interjeté en temps utile contre une décision confirmée par l'autorité cantonale de dernière instance relative à la clôture de la procédure d'entraide judiciaire (art. 80f de la loi fédérale sur l'entraide internationale en matière pénale - EIMP, RS 351.1).</w:t>
      </w:r>
    </w:p>
    <w:p>
      <w:r>
        <w:rPr>
          <w:b/>
        </w:rPr>
        <w:t>E. 1.1</w:t>
      </w:r>
    </w:p>
    <w:p>
      <w:r>
        <w:t>La recourante A.________ est titulaire des comptes au sujet desquels le Juge d'instruction a décidé de transmettre des renseignements; elle a donc qualité pour agir ( art. 80h let. b EIMP et 9a let. a OEIMP). Toutefois, les recourantes relèvent que A.________ ne serait que la succursale d'une société principale sise aux Etats-Unis, ce qui justifierait le droit d'intervention de cette dernière. Compte tenu de l'absence de personnalité juridique de la succursale, seule la société à laquelle elle appartient peut en principe agir. Il n'y a toutefois pas lieu d'approfondir cette question: dans la mesure où les deux sociétés ont agi conjointement, une éventuelle désignation inexacte des parties par la cour cantonale n'a pas d'incidence sur la recevabilité du recours (cf. ATF 120 III 11 consid. 1b p. 13).</w:t>
      </w:r>
    </w:p>
    <w:p>
      <w:r>
        <w:rPr>
          <w:b/>
        </w:rPr>
        <w:t>E. 1.2</w:t>
      </w:r>
    </w:p>
    <w:p>
      <w:r>
        <w:t>Les recourantes concluent à l'annulation de l'ordonnance de la Chambre d'accusation et de la décision de clôture, ainsi qu'à l'annulation des différentes décisions incidentes prises précédemment par le Juge d'instruction. Selon l' art. 80e let. a EIMP , le recours formé contre la décision finale peut également être dirigé contre les décisions incidentes, dans la mesure où celles-ci ont encore un effet distinct de la décision finale. En l'occurrence, la décision de clôture porte sur la transmission des documents, à l'exclusion de toute mesure de blocage. Le magistrat requérant a d'ailleurs clairement précisé, le 24 mars 2005, qu'il renonçait à tout blocage, et les mesures prises par le Juge d'instruction le 30 juillet 2003 ont été levées au mois d'avril 2005. Les recourantes admettent qu'elles ne disposent pas d'autres comptes auprès de la banque de Bienne; elles se contentent d'évoquer un risque de "malentendus" avec la banque, sans toutefois préciser en quoi consisterait un tel risque. C'est par conséquent à juste titre que la cour cantonale a considéré que les conclusions présentées à cet égard étaient sans objet. Il en va d'ailleurs de même pour les conclusions visant les autres décisions incidentes d'entrée en matière, qui ne déploient plus d'effet dès le prononcé de la clôture.</w:t>
      </w:r>
    </w:p>
    <w:p>
      <w:r>
        <w:rPr>
          <w:b/>
        </w:rPr>
        <w:t>E. 2</w:t>
      </w:r>
    </w:p>
    <w:p>
      <w:r>
        <w:t>Les recourantes soutiennent que la demande d'entraide ne serait pas suffisamment motivée. Elle n'indiquerait ni les lieux, ni les dates, ni les modes de commission des infractions, en particulier s'agissant d'escroquerie fiscale, et rien ne permettrait de comprendre leur implication dans ces faits. Le Juge d'instruction avait invité l'autorité requérante a compléter sa demande, mais aucune suite concrète n'avait été donnée à cette invitation. Il ne serait ainsi pas possible d'affirmer l'existence d'une tromperie astucieuse, ni de vérifier que le principe de la proportionnalité est respecté.</w:t>
      </w:r>
    </w:p>
    <w:p>
      <w:r>
        <w:rPr>
          <w:b/>
        </w:rPr>
        <w:t>E. 2.1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w:t>
      </w:r>
    </w:p>
    <w:p>
      <w:r>
        <w:t>Lorsque l'acte poursuivi est une escroquerie fiscale, la jurisprudence n'exige pas non plus une preuve stricte de l'état de fait; des soupçons suffisamment justifiés sont toutefois nécessaires, afin d'éviter que l'autorité requérante invoque une telle infraction pour se procurer des preuves destinées à la poursuite d'autres délits fiscaux pour lesquels la Suisse n'accorde pas l'entraide ( art. 3 al. 3 EIMP , art. 2 let. a CEEJ ; ATF 115 Ib 68 consid. 3b/bb).</w:t>
      </w:r>
    </w:p>
    <w:p>
      <w:r>
        <w:rPr>
          <w:b/>
        </w:rPr>
        <w:t>E. 2.2</w:t>
      </w:r>
    </w:p>
    <w:p>
      <w:r>
        <w:t>Ces exigences de motivation ne sont pas satisfaites en l'occurrence. La demande du 7 juillet 2003 fait état de faux ordres de virement, d'achats de téléphones portables et de commissions versées aux inculpés. On ne parvient toutefois pas à comprendre en quoi consisterait l'escroquerie, dans la mesure notamment où l'on ignore tout du processus prétendument astucieux. A fortiori n'existe-t-il aucune indication suffisante quant à une escroquerie fiscale qui aurait été commise en matière de TVA.</w:t>
      </w:r>
    </w:p>
    <w:p>
      <w:r>
        <w:t>Ces insuffisances n'avaient pas échappé au Juge d'instruction genevois qui a, conformément à l' art. 28 al. 6 EIMP , donné l'occasion à l'autorité requérante de compléter son état de fait. En guise de réponse, cette dernière s'est contentée de renoncer aux blocages des comptes, tout en affirmant l'opportunité d'une transmission rapide des informations. Force est dès lors de constater que le défaut de motivation n'a pas été réparé. S'agissant plus précisément des recourantes, rien dans la demande ne permet de supposer un lien, même le plus ténu, avec les agissements décrits. On ignore totalement pour quelle raison le compte bancaire de la recourante se trouve mentionné dans la demande: aucun rapport d'affaires, aucun lien avec les personnes physiques et morales n'est indiqué, qui pourrait justifier objectivement l'intérêt de l'autorité requérante pour les avoirs bancaires des recourantes, alors même qu'une simple allégation sur ce point eût été suffisante ( ATF 130 II 329 consid. 5.1 p. 335 et les arrêts cités). Selon la cour cantonale, les pièces produites et les auditions des personnes concernées montreraient que les recourantes avaient été en relation avec des inculpés dans le cadre d'un commerce de téléphones mobiles. Toutefois, si les renseignements recueillis en Suisse peuvent parfois justifier un élargissement de l'entraide requise, ils ne sauraient pallier les défauts formels entachant la demande d'entraide; il incombe à la seule autorité requérante de motiver correctement sa démarche, et l'autorité d'exécution n'est pas habilitée à le faire à sa place, sous peine de favoriser les recherches indéterminées de moyens de preuve.</w:t>
      </w:r>
    </w:p>
    <w:p>
      <w:r>
        <w:t>L'autorité suisse requise est par conséquent dans l'impossibilité de vérifier, sur le vu de la demande d'entraide, si les conditions de la double incrimination et de la proportionnalité (utilité potentielle) sont remplies.</w:t>
      </w:r>
    </w:p>
    <w:p>
      <w:r>
        <w:rPr>
          <w:b/>
        </w:rPr>
        <w:t>E. 3</w:t>
      </w:r>
    </w:p>
    <w:p>
      <w:r>
        <w:t>Le recours est par conséquent admis, dans la mesure où il est recevable (cf. consid. 1.2 ci-dessus) et l'ordonnance de la Chambre d'accusation est annulée, à l'exception du ch. 3 de son dispositif, conforme au droit fédéral. L'ordonnance de clôture rendue le 17 mai 2005 est également annulée et l'entraide judiciaire est refusée. Une indemnité de dépens est allouée aux recourantes, à la charge du canton de Genève. Il appartiendra à la Chambre d'accusation de statuer sur les dépens de l'instance cantonale, compte tenu de l'issue de la cause. Conformément à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