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1A.306/2005 vom 30. Januar 2006</w:t>
      </w:r>
    </w:p>
    <w:p>
      <w:r>
        <w:t>Bundesgericht, 2006-01-30, DE</w:t>
      </w:r>
    </w:p>
    <w:p>
      <w:r>
        <w:rPr>
          <w:b/>
        </w:rPr>
        <w:t xml:space="preserve">Quelle: </w:t>
      </w:r>
      <w:r>
        <w:t>https://mcp.opencaselaw.ch/entscheid/bger_1A.306_2005</w:t>
      </w:r>
    </w:p>
    <w:p>
      <w:r>
        <w:t>FR: TF 1A.306/2005 du 30 janvier 2006</w:t>
      </w:r>
    </w:p>
    <w:p>
      <w:r>
        <w:t>IT: TF 1A.306/2005 del 30 gennaio 2006</w:t>
      </w:r>
    </w:p>
    <w:p>
      <w:pPr>
        <w:pStyle w:val="Heading2"/>
      </w:pPr>
      <w:r>
        <w:t>Regeste</w:t>
      </w:r>
    </w:p>
    <w:p>
      <w:r>
        <w:t>vorläufiges Betriebsreglement; Sistierung des Verfahrens B-2005-44 | Verkehr (ohne Strassenverkehr)</w:t>
      </w:r>
    </w:p>
    <w:p>
      <w:pPr>
        <w:pStyle w:val="Heading2"/>
      </w:pPr>
      <w:r>
        <w:t>Erwägungen</w:t>
      </w:r>
    </w:p>
    <w:p>
      <w:r>
        <w:rPr>
          <w:b/>
        </w:rPr>
        <w:t>E. 1</w:t>
      </w:r>
    </w:p>
    <w:p>
      <w:r>
        <w:t>Angefochten ist eine Zwischenverfügung über ein Gesuch um Sistierung des Verfahrens. Zwischenverfügungen unterstehen der Verwaltungsgerichtsbeschwerde, wenn auch die nachmalige Endverfügung der Verwaltungsgerichtsbarkeit unterliegt ( Art. 101 lit. a OG e contrario) und wenn die Zwischenverfügung einen nicht wieder gutzumachenden Nachteil bewirken kann ( Art. 97 OG in Verbindung mit Art. 5 und 45 Abs. 1 VwVG ). Ob letzteres hier zutreffe, ist fraglich. Die Beschwerdeführerin sieht einen solchen Nachteil offenbar darin, dass bei einer Fortsetzung des Verfahrens B-2005-44 das früher eingeleitete Verfahren betreffend die Südanflüge (B-2003-48) verzögert oder gegenstandslos werden könnte, obschon die im früheren Verfahren Beschwerdeführenden Anspruch auf einen möglichst raschen (Grundsatz-)Entscheid hätten. Mit der angefochtenen Verfügung ist jedoch in keiner Weise über das Schicksal des Südanflug-Verfahrens entschieden worden. Wohl hat die Instruktionsrichterin in Betracht gezogen, es könnte sich erweisen, dass dieses frühere Verfahren als durch das neuere, den gesamten An- und Abflugverkehr erfassende Verfahren teilweise gegenstandslos geworden sei. Ob und inwieweit das frühere Beschwerdeverfahren abzuschreiben oder weiter zu führen und allenfalls mit dem neuen Verfahren zu vereinigen sei, wird jedoch von der Rekurskommission INUM erst noch zu beurteilen sein. Die Frage, ob die hier angefochtene Verfügung tatsächlich einen nicht wieder gutzumachenden Nachteil bewirken könnte, kann aber letztlich offen gelassen werden, da es der Beschwerdeführerin im vorliegenden Verfahren ohnehin an der formellen Beschwer und damit an der Beschwerdelegitimation fehlt: Zwar hat die Stadt Zürich gegen die Genehmigung des vorläufigen Betriebsreglements bei der Rekurskommission INUM Beschwerde eingereicht, doch hat sie selbst nie in eigenem Namen um Sistierung dieses Verfahrens ersucht. Auch im Rahmen des Vernehmlassungsverfahrens, das auf das Sistierungsbegehren des Vereins "Flugschneise Süd - Nein" (Beschwerdeführende 42) durchgeführt worden ist, hat sie lediglich den Antrag gestellt, dem Sistierungsbegehren der Beschwerdeführenden 42 sei stattzugeben. Insofern erweist sich das Dispositiv der angefochtenen Verfügung, wonach auch der Antrag der Beschwerdeführenden 55 (Stadt Zürich) abgewiesen wird, als unrichtig. Das in diesem Punkte unrichtige bzw. unpräzise Dispositiv vermag aber das Bundesgericht nicht zu binden und der Stadt Zürich nicht zur formellen Beschwer zu verhelfen. Ebenso wenig kann der Stadt Zürich das im bundesgerichtlichen Verfahren formulierte Begehren, es sei "ihrem Antrag" auf Sistierung stattzugeben, die fehlende Beschwerdelegitimation verleihen, da ein solcher Antrag wie gesagt im vorinstanzlichen Verfahren nicht gestellt worden ist. Auf die Verwaltungsgerichtsbeschwerde ist daher nicht einzutreten.</w:t>
      </w:r>
    </w:p>
    <w:p>
      <w:r>
        <w:rPr>
          <w:b/>
        </w:rPr>
        <w:t>E. 2</w:t>
      </w:r>
    </w:p>
    <w:p>
      <w:r>
        <w:t>Da es der Stadt Zürich jederzeit offen steht, im hängigen Beschwerdeverfahren ein zusätzliches eigenes Sistierungsgesuch zu stellen, rechtfertigt es sich aus prozessökonomischen Gründen, kurz auf die Frage der Bundesrechtmässigkeit der angefochtenen Verfügung einzugehen: Im Zwischenentscheid wird dargelegt, das Sistierungsbegehren werde damit begründet, dass das seit einiger Zeit hängige Südanflug-Verfahren beförderlich fortgesetzt und - durch einen grundsätzlichen Entscheid über die Zulässigkeit der Südanflüge - zum Abschluss gebracht werden müsse. Ein schützenswertes Interesse an einem baldigen Entscheid könne aber nur bestehen, wenn das fragliche Verfahren trotz der inzwischen erfolgten Genehmigung des vorläufigen Betriebsreglementes überhaupt noch eigenständig vorangetrieben und abgeschlossen werden könne. Im Rahmen des vorläufigen Betriebsreglementes seien die verschiedenen, seit dem Jahre 2001 erfolgten provisorischen Änderungen des Betriebsreglementes zusammengefasst und der Betrieb insgesamt neu überprüft und geregelt worden. Zwar sei das zeitliche Benützungs-Schema für die verschiedenen Pisten noch nicht in allen Punkten genehmigt worden, doch habe das BAZL dem neuen An- und Abflugregime im Wesentlichen zugestimmt. Da die Gesamtsituation für die Flughafenanwohner - und zwar auch im Süden - mit der Genehmigung des vorläufigen Betriebsreglementes erneut verändert worden sei, sei im Sinne bisheriger bundesgerichtlicher Rechtsprechung von einer zumindest teilweisen Gegenstandslosigkeit des Südanflug-Verfahrens auszugehen. Inwieweit dieses Verfahren noch eigenständig fortzusetzen sei, hange auch von der Frage ab, ob der im jüngsten Betriebsreglementsverfahren erstellte Umweltverträglichkeitsbericht im Südanflug-Verfahren berücksichtigt werden könne oder nicht. Jedenfalls könne nicht gesagt werden, dass das Südanflug-Verfahren für das Beschwerdeverfahren betreffend das vorläufige Betriebsreglement von präjudizieller Bedeutung sei. Im Übrigen übersähen die Gesuchsteller, dass die Beschwerdeführenden im Verfahren B-2005-44, deren Anträge und Rügen nur indirekt oder überhaupt nicht mit den Südanflügen in Verbindung stünden, im Wesentlichen dasselbe Interesse an einer im Sinne von Art. 29 Abs. 1 BV innert angemessener Frist vorgenommenen Beurteilung hätten. Dies gelte im besonderem Masse für die seit dem Jahr 2001 von zusätzlichen Ostanflügen auf die Piste 28 betroffenen Beschwerdeführer. Das Interesse an der Weiterführung des umfassenden, alle Anliegen einbeziehenden Verfahrens betreffend das vorläufige Betriebsreglement sei somit höher einzustufen als das letztlich einzig auf die angeblich präjudizielle Bedeutung des Südanflug-Verfahrens abgestützte Interesse der Gesuchsteller. Selbst wenn im Südanflug-Verfahren noch materielle Entscheide zu fällen wären, müsste davon ausgegangen werden, dass diese im Verfahren B-2005-44 angesichts der neuen Ausgangslage und der notwendigen Gesamtbeurteilung teilweise oder insgesamt wieder überprüft werden müssten. Jedenfalls würde das vorläufige Betriebsreglement infolge solcher Entscheide nicht einfach teilweise gegenstandslos. Dem Sistierungsgesuch stünden somit auch prozessökonomische Überlegungen entgegen. Zusammenfassend sei demnach festzuhalten, dass die für eine Sistierung ins Feld geführten Argumente nicht überzeugten. Diese Erwägungen sind jedenfalls mit dem Bundesrecht nicht unvereinbar. Insbesondere ist nicht einzusehen, weshalb sich die Instruktionsrichterin mit der Frage des möglichen Gegenstandsloswerdens des einen oder anderen Verfahrens nicht hätte befassen dürfen, ist doch diese Frage von den Gesuchstellern selbst aufgeworfen worden. Ob und inwieweit letztlich ein hängiges Verfahren abzuschreiben sei, wird wie bereits erwähnt von der (ganzen) Rekurskommission INUM beurteilt werden müssen, welche an die Begründung des hier umstrittenen Zwischenentscheides der Instruktionsrichterin nicht gebunden ist. Von einer unzulässigen Präjudizierung eines Entscheides oder einer Einschränkung der Rechtsschutzmöglichkeiten kann daher nicht gesprochen werden.</w:t>
      </w:r>
    </w:p>
    <w:p>
      <w:r>
        <w:rPr>
          <w:b/>
        </w:rPr>
        <w:t>E. 3</w:t>
      </w:r>
    </w:p>
    <w:p>
      <w:r>
        <w:t>Auf die Erhebung einer Gerichtsgebühr ist angesichts von Art. 156 Abs. 2 OG zu verzichten. Die Stadt Zürich ist indes zu verpflichten, der Flughafen Zürich AG für das bundesgerichtliche Verfahren eine angemessene Parteientschädigung zu entrichten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