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1A.286/2003 vom 11. Februar 2004</w:t>
      </w:r>
    </w:p>
    <w:p>
      <w:r>
        <w:t>Bundesgericht, 2004-02-11, FR</w:t>
      </w:r>
    </w:p>
    <w:p>
      <w:r>
        <w:rPr>
          <w:b/>
        </w:rPr>
        <w:t xml:space="preserve">Quelle: </w:t>
      </w:r>
      <w:r>
        <w:t>https://mcp.opencaselaw.ch/entscheid/bger_1A.286_2003</w:t>
      </w:r>
    </w:p>
    <w:p>
      <w:r>
        <w:t>FR: TF 1A.286/2003 du 11 février 2004</w:t>
      </w:r>
    </w:p>
    <w:p>
      <w:r>
        <w:t>IT: TF 1A.286/2003 del 11 febbraio 2004</w:t>
      </w:r>
    </w:p>
    <w:p>
      <w:pPr>
        <w:pStyle w:val="Heading2"/>
      </w:pPr>
      <w:r>
        <w:t>Regeste</w:t>
      </w:r>
    </w:p>
    <w:p>
      <w:r>
        <w:t>Entraide et extradition</w:t>
      </w:r>
    </w:p>
    <w:p>
      <w:pPr>
        <w:pStyle w:val="Heading2"/>
      </w:pPr>
      <w:r>
        <w:t>Erwägungen</w:t>
      </w:r>
    </w:p>
    <w:p>
      <w:r>
        <w:rPr>
          <w:b/>
        </w:rPr>
        <w:t>E. 1</w:t>
      </w:r>
    </w:p>
    <w:p>
      <w:r>
        <w:t>Le traité d'extradition avec le Brésil, conclu le 23 juillet 1932 et entré en vigueur le 24 février 1934 (RS 0.353.919.8), contient un art. XVII al. 1, libellé de la manière suivante: "Si, dans une cause pénale résultant d'un délit pouvant donner lieu à l'extradition selon le présent Traité, la déposition ou la citation de témoins en résidence ou de passage sur le territoire d'une des Parties contractantes, ou tout autre acte d'instruction est nécessaire, l'autre partie pourra transmettre à cet effet une commission rogatoire émanant de l'autorité compétente et accompagnée d'une traduction française lorsqu'elle n'est pas rédigée dans cette langue". Le point de savoir si le traité d'extradition fournit une base conventionnelle à la remise de la documentation bancaire et à la saisie de comptes (qu'il faudrait assimiler à l'un des "tout autre acte d'instruction" visé par cette disposition) peut rester indécis (cf. le Message du 9 octobre 1933, FF 1933 II p. 429ss, 432). De toute manière, il est douteux que la demande brésilienne puisse se fonder sur le traité - qu'elle n'évoque pas, au demeurant. En effet, si la corruption de fonctionnaires, ainsi que la malversation de deniers publics et la concussion, figurent parmi les délits donnant lieu à extradition selon le traité (art. II al. 1 ch. 11 et 12), partant à l'entraide selon l'art. XVII al. 1, tel n'est pas le cas du chef de blanchiment d'argent. Même à supposer l'art. XVII al. 1 du traité applicable, cette disposition devrait être interprétée conformément au droit interne réservé à l'art. I. Cela signifie notamment que les clauses d'exclusion de l'entraide, selon les art. 2 à 6 EIMP, s'appliquent dans les relations bilatérales (Hans Schultz, Das schweizerische Auslieferungsrecht, Bâle, 1953, p. 135 n. 288). La Chambre d'accusation semble être d'un autre avis. Cela n'a toutefois pas d'importance, car la cour cantonale a, par surabondance, examiné les griefs tirés des art. 3 et 5 EIMP .</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La voie du recours de droit administratif est ouverte contre la décision confirmant la transmission de la documentation bancaire à l'Etat requérant et la saisie de comptes (cf. art. 25 al. 1 EIMP ).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2.2</w:t>
      </w:r>
    </w:p>
    <w:p>
      <w:r>
        <w:t>F.________ est titulaire du compte n°4, Ligia Maluf Curi des comptes n°5 et 7. Ligia Maluf Curi et Maurilio Curi sont co-titulaires des comptes n°2 et 8. Les recourants ont partant qualité pour agir, au sens de l' art. 80h let. b EIMP , mis en relation avec l' art. 9a let. a OEIMP , contre la transmission de la documentation bancaire et la saisie de ces comptes ( ATF 127 II 198 consid. 2d p. 205; 126 II 258 consid. 2d/aa p. 260; 125 II 356 consid. 3b/bb p. 362, et les arrêts cités). Ligia Maluf Curi est l'ayant droit des comptes n°3 et 6. Avec Maurilio Curi, elle est l'ayant droit du compte n°1. Cette qualité ne suffit pas pour leur reconnaître la qualité pour agir, s'agissant de ces comptes ( ATF 122 II 130 consid. 2b p. 132/133). Les recourants se prévalent toutefois de la jurisprudence selon laquelle a exceptionnellement qualité pour agir l'ayant droit de la personne morale lorsque celle-ci a été dissoute, sous réserve de l'abus de droit ( ATF 123 II 153 consid. 2c et dd p. 157/158). Il appartient à l'ayant droit de prouver la liquidation, documents officiels à l'appui (arrêts 1A.10/2000 du 18 mai 2000, consid. 1e; 1A.131/1999 du 26 août 1999, consid. 3 et 1A.236/1998 du 25 janvier 1999, consid. 1b/bb). Celle-ci est abusive lorsqu'elle est intervenue, sans raison économique apparente, dans un délai proche de l'ouverture de l'action pénale dans l'Etat requérant (arrêt 1A.10/2000, précité, consid. 2). Il faut en outre que l'acte de dissolution indique clairement l'ayant droit comme son bénéficiaire (arrêt 1A.84/1999 du 31 mai 1999, consid. 2). Tout en envisageant que la qualité pour agir puisse être reconnue à Ligia Maluf Curi sous cet aspect, la Chambre d'accusation a laissé la question indécise. G.________ a été dissoute le 13 juin 2001, H.________ le 17 septembre 2001. Le 17 décembre 2003, la banque X.________ a indiqué que Ligia Maluf Curi était restée l'ayant droit du compte n°1 jusqu'à la clôture de celui-ci, sans autre indication quant au bénéficiaire ultérieur. En outre, les dissolutions alléguées sont intervenues à l'époque où les autorités brésiliennes ont été informées de l'existence de comptes en Suisse, ce qui peut laisser supposer que ces mesures poursuivaient un but de camouflage des fonds. Au regard de la jurisprudence qui vient d'être rappelée, Ligia Maluf Curi n'est pas recevable à recourir s'agissant des comptes n°3 et 6. Elle ne l'est pas davantage, avec Maurilio Curi, pour ce qui concerne le compte n°1. L'objet du litige est ainsi circonscrit aux comptes n°2, 4, 5, 7 et 8.</w:t>
      </w:r>
    </w:p>
    <w:p>
      <w:r>
        <w:rPr>
          <w:b/>
        </w:rPr>
        <w:t>E. 3</w:t>
      </w:r>
    </w:p>
    <w:p>
      <w:r>
        <w:t>Les recourants soutiennent que la demande serait lacunaire, incomplète et contradictoire.</w:t>
      </w:r>
    </w:p>
    <w:p>
      <w:r>
        <w:rPr>
          <w:b/>
        </w:rPr>
        <w:t>E. 3.1</w:t>
      </w:r>
    </w:p>
    <w:p>
      <w:r>
        <w:t>La demande d'entraide doit indiquer l'organe dont elle émane et le cas échéant, l'autorité pénale compétente ( art. 28 al. 2 let. a EIMP ), son objet et ses motifs ( art. 28 al. 2 let. b EIMP ), la qualification juridique des faits ( art. 28 al. 2 let . c EIMP), la désignation aussi précise et complète que possible de la personne poursuivie ( art. 28 al. 2 let .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 Lorsque la demande tend, comme en l'espèce, à la remise de documents bancaires et au blocage de fonds,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(arrêts 1A.125/2003 du 15 juillet 2003, consid. 2.1 et 1A.211/1992 du 29 juin 1993; consid. 3a non publié de l' ATF 126 II 258 et consid. 6a non publié de l' ATF 125 II 356 ).</w:t>
      </w:r>
    </w:p>
    <w:p>
      <w:r>
        <w:rPr>
          <w:b/>
        </w:rPr>
        <w:t>E. 3.2</w:t>
      </w:r>
    </w:p>
    <w:p>
      <w:r>
        <w:t>La procédure d'entraide n'a pas été simple. Le Juge d'instruction et l'Office fédéral ont dû intervenir à de multiples reprises auprès des autorités de l'Etat requérant pour obtenir les compléments nécessaires pour la clarification de l'état de fait. Les péripéties qui s'en sont suivies ont retardé l'exécution de la demande, sans que le Juge d'instruction n'ait à encourir de reproche à cet égard. En fin de compte, une fois mis de côté les exposés et pièces répétitifs, la demande, telle que complétée le 17 juin 2002, ainsi que les 11 et 18 février 2003, avec toutes les annexes jointes, satisfait aux exigences de l' art. 28 EIMP . S'agissant du premier volet de l'enquête, l'exposé du 4 novembre 2002 précise la nature juridique des emprunts municipaux ("precatorios"). Il indique en outre que dans la période allant de 1993 à 1996, pendant le mandat de Maluf, la municipalité de Sao Paulo a émis de tels emprunts pour un montant total de plus 3 milliards USD. L'accusation de fraude se fonde sur des documents joints à l'exposé du 4 novembre 2002. Il en ressort qu'après l'émission des emprunts, le Sénat fédéral et la Banque centrale ont fait procéder à des vérifications. Il en était résulté que certains emprunts avaient été émis en relation avec des montant déjà payés par la municipalité ou pour le règlement d'obligations inexistantes. Le préjudice total s'élevait à environ 600 millions USD. Les titres émis ainsi sans justification ont été négociés sur le marché financier. L'offre publique y relative aurait été simulée, en ce sens que tous les titres ont été attribués à un organisme municipal qui les a écoulés sur le marché dans des conditions irrégulières. Une partie du surplus ainsi dégagé aurait ensuite été acheminé sur des comptes ouverts notamment en Suisse. Contrairement à ce que prétendent les recourants, ces documents nourrissent de manière suffisante le soupçon que Maluf et ses comparses ont mis en place un système destiné à contourner la législation relative aux "precatorios", dans le but de se procurer des fonds auxquels ils n'avaient pas droit, et de les détourner à des fins personnelles. Sans doute le rôle exact joué par Maluf, R.________ et S.________ n'est-il pas encore exactement déterminé à ce stade de la procédure. C'est précisément afin d'éclaircir ce point que l'entraide est demandée. S'agissant des deuxième et troisième volets de l'enquête, concernant la construction de l'avenue Aguas Espraiadas et du tunnel Ayrton Senna, les compléments des 17 juin 2002, 11 et 18 février 2003, décrivent le système délictueux mis en place dans la gestion municipale, reposant sur le paiement indu de travaux fictifs attestés par de fausses factures. Sur ce point également, la demande se réfère à de nombreuses pièces, actes d'investigation et témoignages.</w:t>
      </w:r>
    </w:p>
    <w:p>
      <w:r>
        <w:rPr>
          <w:b/>
        </w:rPr>
        <w:t>E. 4</w:t>
      </w:r>
    </w:p>
    <w:p>
      <w:r>
        <w:t>Pour les recourants, la condition de la double incrimination ne serait pas remplie.</w:t>
      </w:r>
    </w:p>
    <w:p>
      <w:r>
        <w:rPr>
          <w:b/>
        </w:rPr>
        <w:t>E. 4.1</w:t>
      </w:r>
    </w:p>
    <w:p>
      <w:r>
        <w:t>La remise de documents bancaires et la saisie d'avoirs placés sur des comptes constituent des mesures de contrainte au sens de l' art. 63 al. 2 let . c et d EIMP, qui ne peuvent être ordonnées, selon l' art. 64 al. 1 EIMP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et subjectifs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qui y sont invoqués, mais seulement en vérifier la punissabilité. Des preuves ne sont pas nécessaires et il n'est pas toujours possible d'exiger de l'Etat requérant un exposé absolument complet des faits; la collaboration internationale de la Suisse ne peut être refusée que si la demande présente des erreurs, des lacunes ou des contradictions manifestes ( ATF 126 II 495 consid. 5e/aa p. 501; 118 Ib 111 consid. 5b p. 121/122; 117 Ib 64 consid. 5c p. 88, et les arrêts cités).</w:t>
      </w:r>
    </w:p>
    <w:p>
      <w:r>
        <w:rPr>
          <w:b/>
        </w:rPr>
        <w:t>E. 4.2</w:t>
      </w:r>
    </w:p>
    <w:p>
      <w:r>
        <w:t>Sous l'angle du blanchiment d'argent, les recourants allèguent que l'infraction principale serait prescrite. Outre que cet argument tombe à faux (cf. consid. 5 ci-dessous), il n'est de toute manière pas décisif. Selon la jurisprudence en effet, la demande étrangère portant sur la répression d'un délit de blanchiment ne doit pas nécessairement contenir la preuve de la commission de ce délit ou de l'infraction principale; un simple soupçon considéré objectivement suffit pour l'octroi de la coopération sous l'angle de la double incrimination ( ATF 129 II 97 ). Or, tel est bien le cas en l'espèce: la demande contient suffisamment d'éléments de nature à corroborer la suspicion que les personnes poursuivies au Brésil (et spécialement Maluf), ont fait transférer à l'étranger (dont en Suisse) des montants qui pourraient constituer le butin des actes délictueux qu'ils auraient commis dans l'Etat requérant. Pour ce qui concerne les délits en relation avec la gestion de la municipalité de Sao Paulo, il ne fait aucun doute que si les faits reprochés à Maluf et à ses comparses devaient être confirmés, ils pourraient être assimilés à la gestion déloyale des intérêts publics ( art. 314 CP ), à la corruption passive ( art. 322quater CP ) et au blanchiment d'argent ( art. 305bis CP ). Les recourants ne le contestent pas sérieusement, au demeurant. Ils se bornent à prétendre que la demande serait insuffisamment motivée, ce qui empêcherait de vérifier si la condition de la double incrimination est remplie. Dans la mesure où il ne recoupe pas le grief précédent, celui tiré de la double incrimination doit être écarté.</w:t>
      </w:r>
    </w:p>
    <w:p>
      <w:r>
        <w:rPr>
          <w:b/>
        </w:rPr>
        <w:t>E. 5</w:t>
      </w:r>
    </w:p>
    <w:p>
      <w:r>
        <w:t>Les recourants invoquent l'art. 5 al. 1 let. a ch. 1 EIMP, à teneur duquel la demande est irrecevable si, en Suisse ou dans l'Etat où l'infraction a été commise, le juge statuant au fond a prononcé un acquittement ou un non-lieu. Tel est notamment le cas lorsque la procédure pénale a pris fin par le prononcé d'un jugement définitif entré en force (cf. ATF 113 Ib 157 consid. 5a in fine p. 166). A cet égard, les recourants se prévalent d'un jugement rendu le 31 octobre 2001 par la Cour pénale fédérale du Brésil, selon lequel, s'agissant du premier volet de l'enquête, les faits commis avant le 31 décembre 1994 seraient prescrits. Or, même confirmé par la Cour fédérale régionale, ce jugement peut encore faire l'objet d'un appel auprès de la Haute Cour de justice, selon les indications fournies par les recourants eux-mêmes. Partant, il n'est pas définitif. S'ajoute à cela que l'argument, même fondé, ne concernerait que les faits antérieurs à 1994, commis en relation avec la première des trois procédures ouvertes dans l'Etat requérant. Celui-ci a en outre précisé, dans son complément du 17 juin 2002, que les décisions judiciaires dont les recourants font état ne visent que Maluf, à l'exclusion de ses co-accusés et que, selon le droit brésilien, le délit de blanchiment peut être poursuivi indépendamment de la prescription qui empêcherait la répression de l'infraction originaire. Le grief est ainsi mal fondé.</w:t>
      </w:r>
    </w:p>
    <w:p>
      <w:r>
        <w:rPr>
          <w:b/>
        </w:rPr>
        <w:t>E. 6</w:t>
      </w:r>
    </w:p>
    <w:p>
      <w:r>
        <w:t>Les recourants soutiennent que le principe de la proportionnalité serait violé.</w:t>
      </w:r>
    </w:p>
    <w:p>
      <w:r>
        <w:rPr>
          <w:b/>
        </w:rPr>
        <w:t>E. 6.1</w:t>
      </w:r>
    </w:p>
    <w:p>
      <w:r>
        <w:t>Ne sont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(arrêt non publié D. du 7 décembre 1998, consid. 5).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Au regard de ces principes, il importe peu que F.________ et Maurilio Curi ne soient pas cités dans la demande. Il n'est pas davantage décisif que la procédure au Brésil attire l'attention soutenue du public, de la presse et des services fiscaux. Sur ce dernier point, le Juge d'instruction a réservé le principe de la spécialité. Sur le fond, les recourants se contentent de reprendre littéralement le recours cantonal, sans expliquer en quoi la Chambre d'accusation aurait violé la loi en écartant le grief tiré de la violation du principe de la proportionnalité pour les motifs retenus dans la décision attaquée. Outre le fait qu'un tel procédé est en soi irrecevable (arrêts 1A.292/1997 du 20 janvier 1998 et 1A.299/1997 du 18 février 1998), les recourants ne font valoir aucun motif qui commanderait de ne pas transmettre tel ou tel document ou qui laisserait à penser que la décision attaquée heurterait le droit fédéral.</w:t>
      </w:r>
    </w:p>
    <w:p>
      <w:r>
        <w:rPr>
          <w:b/>
        </w:rPr>
        <w:t>E. 7</w:t>
      </w:r>
    </w:p>
    <w:p>
      <w:r>
        <w:t>Le recours doit ainsi être rejeté dans la mesure où il est recevable.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