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1A.285/2003 vom 11. Februar 2004</w:t>
      </w:r>
    </w:p>
    <w:p>
      <w:r>
        <w:t>Bundesgericht, 2004-02-11, FR</w:t>
      </w:r>
    </w:p>
    <w:p>
      <w:r>
        <w:rPr>
          <w:b/>
        </w:rPr>
        <w:t xml:space="preserve">Quelle: </w:t>
      </w:r>
      <w:r>
        <w:t>https://mcp.opencaselaw.ch/entscheid/bger_1A.285_2003</w:t>
      </w:r>
    </w:p>
    <w:p>
      <w:r>
        <w:t>FR: TF 1A.285/2003 du 11 février 2004</w:t>
      </w:r>
    </w:p>
    <w:p>
      <w:r>
        <w:t>IT: TF 1A.285/2003 del 11 febbraio 2004</w:t>
      </w:r>
    </w:p>
    <w:p>
      <w:pPr>
        <w:pStyle w:val="Heading2"/>
      </w:pPr>
      <w:r>
        <w:t>Regeste</w:t>
      </w:r>
    </w:p>
    <w:p>
      <w:r>
        <w:t>Entraide et extradition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qualité pour recourir quiconque est personnellement et directement touché par une mesure d'entraide et a un intérêt digne de protection à ce qu'elle soit annulée ou modifiée ( art. 80h let. b EIMP ). Paulo Maluf n'est titulaire d'aucun des comptes visés par la décision de clôture du 13 juin 2003. Il est seulement l'ayant droit des comptes n°1 et 2. Cette qualité ne suffit pas pour lui reconnaître la qualité pour agir ( ATF 122 II 130 consid. 2b p. 132/133). Le recourant se prévaut toutefois de la jurisprudence selon laquelle a exceptionnellement qualité pour agir l'ayant droit de la personne morale lorsque celle-ci a été dissoute, sous réserve de l'abus de droit ( ATF 123 II 153 consid. 2c et dd p. 157/158). Il appartient à l'ayant droit de prouver la liquidation, documents officiels à l'appui (arrêts 1A.10/2000 du 18 mai 2000, consid. 1e; 1A.131/1999 du 26 août 1999, consid. 3 et 1A.236/1998 du 25 janvier 1999, consid. 1b/bb). Celle-ci est abusive lorsqu'elle est intervenue, sans raison économique apparente, dans un délai proche de l'ouverture de l'action pénale dans l'Etat requérant (arrêt 1A.10/2000, précité, consid. 2). Il faut en outre que l'acte de dissolution indique clairement l'ayant droit comme son bénéficiaire (arrêt 1A.84/1999 du 31 mai 1999, consid. 2). Tout en envisageant que la qualité pour agir puisse être reconnue au recourant sous cet aspect, la Chambre d'accusation a laissé la question indécise. Le 25 juin 1997, E.________ a été dissoute, sans autre précision quant au bénéficiaire ultérieur du compte n°2. Le 24 février 1997, D.________, titulaire du compte n°1, a été placée en liquidation volontaire. Le 11 décembre 2003, la banque X.________ a indiqué que le recourant était resté l'ayant droit du compte jusqu'à la clôture de celui-ci. Ces documents indiquent tout au plus que la procédure de liquidation a été engagée, sans que l'on sache à quelle époque la société a été effectivement dissoute. Le recourant n'a pas produit l'acte officiel y relatif. Quant à l'attestation du 11 décembre 2003, elle confirme simplement que le recourant était l'ayant droit du compte n°1, sans autre indication quant au bénéficiaire ultérieur. Les documents produits par le recourant ne suffisent pas pour lui reconnaître la qualité pour agir au regard de l' art. 80h let. b EIMP .</w:t>
      </w:r>
    </w:p>
    <w:p>
      <w:r>
        <w:rPr>
          <w:b/>
        </w:rPr>
        <w:t>E. 2</w:t>
      </w:r>
    </w:p>
    <w:p>
      <w:r>
        <w:t>Le recours est ainsi irrecevable. Les frais en sont mis à la charge du recourant ( art. 156 OJ ). Il n'y a pas lieu d'allouer des dépens ( art. 159 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