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1A.285/2000 vom 13. März 2001</w:t>
      </w:r>
    </w:p>
    <w:p>
      <w:r>
        <w:t>Bundesgericht, 2001-03-13, IT</w:t>
      </w:r>
    </w:p>
    <w:p>
      <w:r>
        <w:rPr>
          <w:b/>
        </w:rPr>
        <w:t xml:space="preserve">Quelle: </w:t>
      </w:r>
      <w:r>
        <w:t>https://mcp.opencaselaw.ch/entscheid/bger_1A.285_2000</w:t>
      </w:r>
    </w:p>
    <w:p>
      <w:r>
        <w:t>FR: TF 1A.285/2000 du 13 mars 2001</w:t>
      </w:r>
    </w:p>
    <w:p>
      <w:r>
        <w:t>IT: TF 1A.285/2000 del 13 marzo 2001</w:t>
      </w:r>
    </w:p>
    <w:p>
      <w:pPr>
        <w:pStyle w:val="Heading2"/>
      </w:pPr>
      <w:r>
        <w:t>Regeste</w:t>
      </w:r>
    </w:p>
    <w:p>
      <w:r>
        <w:t>Assistenza giudiziaria e estradizione</w:t>
      </w:r>
    </w:p>
    <w:p>
      <w:pPr>
        <w:pStyle w:val="Heading2"/>
      </w:pPr>
      <w:r>
        <w:t>Erwägungen</w:t>
      </w:r>
    </w:p>
    <w:p>
      <w:r>
        <w:rPr>
          <w:b/>
        </w:rPr>
        <w:t>E. 1</w:t>
      </w:r>
    </w:p>
    <w:p>
      <w:r>
        <w:t>a) La richiesta di concedere l'effetto sospensivo al gravame è superflua, visto che il ricorso contro la decisione finale che autorizza la trasmissione di informazioni all'estero ha effetto sospensivo per legge ( art. 80l cpv. 1 AIMP ). b) Le ricorrenti fanno valere, in maniera del tutto generica, che la rogatoria sarebbe lacunosa poiché non indicherebbe gli atti illeciti né preciserebbe il loro coinvolgimento in questi supposti reati. La censura è priva di fondamento: l'ammissibilità della richiesta iniziale è già stata accertata dal Tribunale federale, che ha altresì ritenuto come l'esposto dei fatti, non lacunoso, adempisse le esigenze poste dagli art. 14 CEAG e 28 AIMP (sentenze del 26 marzo 1997 e del 7 gennaio 2000 nei confronti delle ricorrenti; sentenza del 13 novembre 2000 in re S., nota ai patrocinatori delle ricorrenti). Le ricorrenti possono pertanto criticare solo il complemento del 7 luglio 1997, sul quale il Tribunale federale non si è ancora pronunciato ( DTF 117 Ib 330 consid. 4, 116 Ib 89 consid. 1b; cfr. anche 122 II 367 consid. 1c; Robert Zimmermann, La coopération judiciaire internationale en matière pénale, Berna 1999, n. 166 pag. 124). Al riguardo esse si limitano semplicemente a sostenere d'essere attive nel commercio di diritti cinematografici e di non avere niente da rimproverarsi. Ora, secondo la rogatoria, il Q.________ si sarebbe servito di società per l'effettuazione di operazioni bancarie finalizzate all'occultamento di ingenti disponibilità finanziarie, utilizzate anche per operazioni illecite. Come risulta dal complemento, fra queste società figurano la X.________ e la Y.________, che avrebbero effettuato vendite fittizie di diritti cinematografici o di altri diritti a società del Q.________, ricevendo ingenti somme, indicate nella domanda integrativa, che in realtà sarebbero state messe a disposizione della Fininvest all'estero. Ne segue che la censura è infondata. c) Le ricorrenti sostengono poi che l'Autorità richiedente avrebbe perso ogni interesse all'esecuzione della rogatoria, inoltrata nell'ottobre del 1996 e completata nel luglio 1997. Essa non avrebbe infatti sollecitato la consegna dei documenti bancari, sequestrati nel 1997 e di cui solo nel 2000 è stata ordinata la trasmissione. Senza però addurre argomenti concreti a sostegno di tale tesi, ne concludono che la consegna dei documenti non avrebbe più alcun senso. Come già noto alle ricorrenti, la censura è infondata (sentenza del 7 gennaio 2000 nei loro confronti). Per di più, il 5 marzo 2001 il MPC ha trasmesso al Tribunale federale uno scritto del 2 marzo 2001 nel quale l'Autorità richiedente, dopo aver precisato che il procedimento è in corso di richiesta di rinvio a giudizio e che l'esecuzione della rogatoria è necessaria per completare gli atti e le attività investigative, ha sollecitato l'evasione della pratica. Una procedura d'assistenza aperta in Svizzera diventa priva di oggetto, trattandosi di materiale probatorio, solo quando lo Stato richiedente la ritiri espressamente, ciò che non si verifica in concreto. In tale ambito, la giurisprudenza considera inoltre che la domanda estera diventa senza oggetto se il processo all'estero si è nel frattempo concluso con un giudizio definitivo, ciò che non è qui il caso; l'Autorità di esecuzione non deve d'altra parte esaminare se il procedimento penale estero segua effettivamente il suo corso ( DTF 113 Ib 157 consid. 5a pag. 166; Zimmermann, op. cit. , 168).</w:t>
      </w:r>
    </w:p>
    <w:p>
      <w:r>
        <w:rPr>
          <w:b/>
        </w:rPr>
        <w:t>E. 2</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