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1A.284/2003 vom 11. Februar 2004</w:t>
      </w:r>
    </w:p>
    <w:p>
      <w:r>
        <w:t>Bundesgericht, 2004-02-11, FR</w:t>
      </w:r>
    </w:p>
    <w:p>
      <w:r>
        <w:rPr>
          <w:b/>
        </w:rPr>
        <w:t xml:space="preserve">Quelle: </w:t>
      </w:r>
      <w:r>
        <w:t>https://mcp.opencaselaw.ch/entscheid/bger_1A.284_2003</w:t>
      </w:r>
    </w:p>
    <w:p>
      <w:r>
        <w:t>FR: TF 1A.284/2003 du 11 février 2004</w:t>
      </w:r>
    </w:p>
    <w:p>
      <w:r>
        <w:t>IT: TF 1A.284/2003 del 11 febbraio 2004</w:t>
      </w:r>
    </w:p>
    <w:p>
      <w:pPr>
        <w:pStyle w:val="Heading2"/>
      </w:pPr>
      <w:r>
        <w:t>Regeste</w:t>
      </w:r>
    </w:p>
    <w:p>
      <w:r>
        <w:t>Entraide et extradition</w:t>
      </w:r>
    </w:p>
    <w:p>
      <w:pPr>
        <w:pStyle w:val="Heading2"/>
      </w:pPr>
      <w:r>
        <w:t>Erwägungen</w:t>
      </w:r>
    </w:p>
    <w:p>
      <w:r>
        <w:rPr>
          <w:b/>
        </w:rPr>
        <w:t>E. 1</w:t>
      </w:r>
    </w:p>
    <w:p>
      <w:r>
        <w:t>A qualité pour recourir quiconque est personnellement et directement touché par une mesure d'entraide et a un intérêt digne de protection à ce qu'elle soit annulée ou modifiée ( art. 80h let. b EIMP ). Paulo Maluf n'est titulaire d'aucun des comptes visés par la décision de clôture du 13 juin 2003. Il est seulement l'ayant droit des comptes n°1 et 2. Cette qualité ne suffit pas pour lui reconnaître la qualité pour agir ( ATF 122 II 130 consid. 2b p. 132/133). Le recourant se prévaut toutefois de la jurisprudence selon laquelle a exceptionnellement qualité pour agir l'ayant droit de la personne morale lorsque celle-ci a été dissoute, sous réserve de l'abus de droit ( ATF 123 II 153 consid. 2c et dd p. 157/158). Il appartient à l'ayant droit de prouver la liquidation, documents officiels à l'appui (arrêts 1A.10/2000 du 18 mai 2000, consid. 1e; 1A.131/1999 du 26 août 1999, consid. 3 et 1A.236/1998 du 25 janvier 1999, consid. 1b/bb). Celle-ci est abusive lorsqu'elle est intervenue, sans raison économique apparente, dans un délai proche de l'ouverture de l'action pénale dans l'Etat requérant (arrêt 1A.10/2000, précité, consid. 2). Il faut en outre que l'acte de dissolution indique clairement l'ayant droit comme son bénéficiaire (arrêt 1A.84/1999 du 31 mai 1999, consid. 2). Tout en envisageant que la qualité pour agir puisse être reconnue au recourant sous cet aspect, la Chambre d'accusation a laissé la question indécise. Le 14 mars 1997, C.________ a été dissoute, sans autre précision quant au bénéficiaire ultérieur du compte n°2. Le 18 mars 1997, B.________, titulaire du compte n°1, a été placée en liquidation volontaire. Le 11 décembre 2003, la banque X.________ a indiqué que le recourant était resté l'ayant droit du compte jusqu'à la clôture de celui-ci. Ces documents indiquent tout au plus que la procédure de liquidation a été engagée, sans que l'on sache à quelle époque la société a été effectivement dissoute. Le recourant n'a pas produit l'acte officiel y relatif. Quant à l'attestation du 11 décembre 2003, elle confirme simplement que le recourant était l'ayant droit du compte n°1, sans autre indication quant au bénéficiaire ultérieur. Il est à noter qu'au moment de la clôture, le compte avait été vidé. Les documents produits par le recourant ne suffisent pas pour lui reconnaître la qualité pour agir au regard de l' art. 80h let. b EIMP .</w:t>
      </w:r>
    </w:p>
    <w:p>
      <w:r>
        <w:rPr>
          <w:b/>
        </w:rPr>
        <w:t>E. 2</w:t>
      </w:r>
    </w:p>
    <w:p>
      <w:r>
        <w:t>Le recours est ainsi irrecevable.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