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1A.283/2000 vom 20. November 2000</w:t>
      </w:r>
    </w:p>
    <w:p>
      <w:r>
        <w:t>Bundesgericht, 2000-11-20, DE</w:t>
      </w:r>
    </w:p>
    <w:p>
      <w:r>
        <w:rPr>
          <w:b/>
        </w:rPr>
        <w:t xml:space="preserve">Quelle: </w:t>
      </w:r>
      <w:r>
        <w:t>https://mcp.opencaselaw.ch/entscheid/bger_1A.283_2000</w:t>
      </w:r>
    </w:p>
    <w:p>
      <w:r>
        <w:t>FR: TF 1A.283/2000 du 20 novembre 2000</w:t>
      </w:r>
    </w:p>
    <w:p>
      <w:r>
        <w:t>IT: TF 1A.283/2000 del 20 novembre 2000</w:t>
      </w:r>
    </w:p>
    <w:p>
      <w:pPr>
        <w:pStyle w:val="Heading2"/>
      </w:pPr>
      <w:r>
        <w:t>Erwägungen</w:t>
      </w:r>
    </w:p>
    <w:p>
      <w:r>
        <w:rPr>
          <w:b/>
        </w:rPr>
        <w:t>E. 4</w:t>
      </w:r>
    </w:p>
    <w:p>
      <w:r>
        <w:t>Februar 2000 in Auslieferungshaft, somit seit gut neun Monaten. Angesichts der Schwere der Tatvorwürfe (laut Ersuchen handelt es sich um Betrug und Geldwäscherei in Millionenhöhe) und der ihm nach eigener Darstellung drohenden mehrjährigen Freiheitsstrafe ist auch keine übermässige Haftdauer gegeben.</w:t>
      </w:r>
    </w:p>
    <w:p>
      <w:r>
        <w:t>c) Der Beschwerdeführer verweist auf die "Berichterstattung zu den Talfahrten der Internetaktien am neuen Markt und insbesondere zum Miracle-Debakel". Seiner Ansicht nach sei es "offensichtlich, dass die hier geschilderten Vorkommnisse weit über das hinaus" gingen, "was gemäss Auslieferungsersuchen" zu seinen Lasten dargelegt werde. Insbesondere liege in seinem Fall kein strafrechtlich relevanter Schaden vor.</w:t>
      </w:r>
    </w:p>
    <w:p>
      <w:r>
        <w:t>Aus diesen Vorbringen ist keinerlei Haftentlassungsgrund ersichtlich. Insbesondere vermögen sie keinen liquiden Alibibeweis (im Sinne von Art. 47 Abs. 1 lit. b bzw. Art. 53 IRSG ) zu begründen (vgl. dazu BGE 123 II 279 E. 2b S. 281 f.; 113 Ib 276 E. 3b - c S. 281 - 83, je mit Hinweisen.). Soweit sich der Beschwerdeführer auf Auslieferungshindernisse beruft (fehlende beidseitige Strafbarkeit, Lückenhaftigkeit des Rechtshilfeersuchens usw.), sind seine Vorbringen im Auslieferungsbeschwerdeverfahren (1A. 221/2000) zu prüfen.</w:t>
      </w:r>
    </w:p>
    <w:p>
      <w:r>
        <w:t>d) Von Auslieferungshaft kann schliesslich abgesehen werden, wenn der Verfolgte nicht hafterstehungsfähig ist oder andere Gründe dies rechtfertigen ( Art. 47 Abs. 2 IRSG ).</w:t>
      </w:r>
    </w:p>
    <w:p>
      <w:r>
        <w:t>Der Beschwerdeführer macht geltend, er befinde sich "offenbar in einem nicht mehr unbedenklichen Gesundheitszustand".</w:t>
      </w:r>
    </w:p>
    <w:p>
      <w:r>
        <w:t>Er leide "seit rund 2 - 3 Wochen" an "geschwollenen Gelenken, starkem Durchfall und grossem Gewichtsverlust", und es gebe bei ihm "Anzeichen psychischen Verfalls". Er verweist in diesem Zusammenhang auf ein Schreiben seines Rechtsvertreters vom 13. November 2000 an das Inselspital Bern. Darin werden "den mit dem Fall B.________ betrauten Sachbearbeitern aller Stufen in den USA zivil- und strafrechtliche Verfahren" angedroht, "sollte sich herausstellen, dass" der Verfolgte "durch Unterlassungen in der schweizerischen Auslieferungshaft krank geworden ist oder sich eine Krankheit verschlimmert hat". Ausserdem werden medizinische Untersuchungen im Inselspital Bern in Aussicht genommen. In der Replik vom 16. November 2000 wird ausgeführt, der Beschwerdeführer habe sich "im Flughafengefängnis eine Viruskrankheit oder eine bakterielle Entzündung zugezogen" bzw.</w:t>
      </w:r>
    </w:p>
    <w:p>
      <w:r>
        <w:t>er habe "kritische Blutwerte". Die "Frage der Hafterstehungsfähigkeit" könne jedoch "erst aufgrund der im Verlauf der nächsten Woche zu erwartenden Arztberichte definitiv beantwortet werden".</w:t>
      </w:r>
    </w:p>
    <w:p>
      <w:r>
        <w:t>Zwar ist jeder Freiheitsentzug zwangsläufig mit erheblichen (insbesondere psychischen) Belastungen für den Betroffenen verbunden. Der Beschwerdeführer legt jedoch nicht dar, dass er an einer Krankheit leide, die in der Auslieferungshaft nicht ausreichend medizinisch behandelt werden könnte, oder dass er in anderer Weise objektiv hafterstehungsunfähig wäre. Auch aus den Akten ergeben sich keine entsprechenden Hinweise. Diesbezüglich bleiben jedenfalls die von ihm selbst in Aussicht gestellten medizinischen Untersuchungen abzuwarten.</w:t>
      </w:r>
    </w:p>
    <w:p>
      <w:r>
        <w:t>4.-Nach dem Gesagten ist die Haftbeschwerde als unbegründet abzuweisen.</w:t>
      </w:r>
    </w:p>
    <w:p>
      <w:r>
        <w:t>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