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1A.281/2005 vom 21. Juli 2006</w:t>
      </w:r>
    </w:p>
    <w:p>
      <w:r>
        <w:t>Bundesgericht, 2006-07-21, FR</w:t>
      </w:r>
    </w:p>
    <w:p>
      <w:r>
        <w:rPr>
          <w:b/>
        </w:rPr>
        <w:t xml:space="preserve">Quelle: </w:t>
      </w:r>
      <w:r>
        <w:t>https://mcp.opencaselaw.ch/entscheid/bger_1A.281_2005</w:t>
      </w:r>
    </w:p>
    <w:p>
      <w:r>
        <w:t>FR: TF 1A.281/2005 du 21 juillet 2006</w:t>
      </w:r>
    </w:p>
    <w:p>
      <w:r>
        <w:t>IT: TF 1A.281/2005 del 21 luglio 2006</w:t>
      </w:r>
    </w:p>
    <w:p>
      <w:pPr>
        <w:pStyle w:val="Heading2"/>
      </w:pPr>
      <w:r>
        <w:t>Erwägungen</w:t>
      </w:r>
    </w:p>
    <w:p>
      <w:r>
        <w:rPr>
          <w:b/>
        </w:rPr>
        <w:t>E. 1</w:t>
      </w:r>
    </w:p>
    <w:p>
      <w:r>
        <w:t>Le Tribunal fédéral examine d'office et librement la recevabilité des recours qui lui sont soumis ( ATF 131 I 153 consid. 1 p. 156 et les arrêts cités).</w:t>
      </w:r>
    </w:p>
    <w:p>
      <w:r>
        <w:rPr>
          <w:b/>
        </w:rPr>
        <w:t>E. 1.1</w:t>
      </w:r>
    </w:p>
    <w:p>
      <w:r>
        <w:t>Le recours est dirigé contre un arrêt rendu en dernière instance cantonale confirmant une décision d'approbation de modifications partielles d'un plan général d'affectation, au sens des art. 14 ss LAT , et du règlement qui lui est lié. En principe, cette décision ne peut faire l'objet que d'un recours de droit public, ce que souligne l' art. 34 al. 1 et 3 LAT . Selon une jurisprudence bien établie, lorsque certaines dispositions d'un plan d'affectation (plan général ou plan de détail) reposent sur le droit fédéral de la protection de l'environnement ou sur d'autres prescriptions fédérales directement applicables, la voie du recours de droit administratif est ouverte à cet égard. Il en va de même lorsqu'il est allégué que de telles dispositions font défaut alors qu'elles auraient dû être prises à ce stade (cf. ATF 132 II 209 consid. 2.2.3 p. 216; 129 I 337 consid. 1.1 p. 339; 125 II 18 consid. 4c/cc p. 25; 123 II 88 consid. 1a p. 91 et les arrêts cités). Les griefs relatifs à l'application du droit de l'aménagement du territoire peuvent alors également être évoqués dans le cadre d'un recours de droit administratif, pour autant qu'il existe un rapport suffisamment étroit avec l'application du droit public de la Confédération ( art. 104 let. a OJ ; ATF 123 II 88 1a/cc p. 92; 121 II 39 consid. 2a p. 41, 72 consid. 1b p. 75; 120 Ib 27 consid. 2a p. 29, 224 consid. 2a p. 228, 287 consid. 3a p. 292, et les arrêts cités). Il en va de même des moyens pris de la violation des droits constitutionnels ( ATF 125 II 1 consid. 2a p. 5; 123 II 8 consid. 2 p. 11; 122 II 373 consid. 1b p. 375).</w:t>
      </w:r>
    </w:p>
    <w:p>
      <w:r>
        <w:rPr>
          <w:b/>
        </w:rPr>
        <w:t>E. 1.2</w:t>
      </w:r>
    </w:p>
    <w:p>
      <w:r>
        <w:t>Les recourants reprochent à l'autorité de planification et aux instances cantonales de ne pas avoir appliqué les dispositions du droit fédéral de la protection de l'environnement en matière de lutte contre le bruit. Ils dénoncent en particulier l'absence au dossier d'un pronostic de bruit et d'une estimation du trafic supplémentaire lié à la création d'un parking souterrain sur la route communale qui longe leur parcelle et à la réalisation d'un accès privé en limite de leur propriété pour se rendre au centre de bien-être et de loisirs projeté par l'intimée. Le rapport de conformité selon l' art. 47 al. 1 OAT serait gravement lacunaire sur ces points. Conformément à la jurisprudence précitée, c'est par la voie du recours de droit administratif qu'un tel grief doit être soulevé.</w:t>
      </w:r>
    </w:p>
    <w:p>
      <w:r>
        <w:t>En tant que propriétaire d'un terrain constructible et d'un chalet voisins des aménagements envisagés par le plan, l'hoirie X.________ a qualité pour agir au sens de l' art. 103 let. a OJ . Le recours répond pour le surplus aux exigences des art. 97 ss OJ .</w:t>
      </w:r>
    </w:p>
    <w:p>
      <w:r>
        <w:rPr>
          <w:b/>
        </w:rPr>
        <w:t>E. 1.3</w:t>
      </w:r>
    </w:p>
    <w:p>
      <w:r>
        <w:t>Les autorités de planification doivent, lorsqu'elles révisent un plan d'affectation et substituent à une zone à bâtir existante une autre zone constructible soumise à un régime différent, prendre en considération les buts et principes régissant l'aménagement du territoire, tels qu'ils découlent du droit fédéral ( art. 1er et 3 LAT notamment) et du droit cantonal. Elles doivent également prendre en considération à ce stade les exigences découlant de la législation fédérale sur la protection de l'environnement (cf. art. 25a al. 4 LAT ; ATF 123 II 88 consid. 2a p. 93 et les arrêts cités). L'adoption d'un plan suppose en effet une pesée de tous les intérêts déterminants, publics ou privés; cet examen tient compte des principes généraux de planification comme des éléments concrets de l'espèce ( ATF 119 Ia 362 consid. 5a p. 372, 411 consid. 2b p. 416; 118 Ia 151 consid. 4b p. 157; 117 Ia 302 consid. 4b p. 307, 430 consid. 4b p. 432; 115 Ia 350 consid. 3d p. 353 et les arrêts cités). L' art. 47 al. 1 OAT exige de l'autorité de planification l'établissement d'un rapport qui démontre que les plans d'affectation sont conformes aux exigences découlant de la législation fédérale sur la protection de l'environnement; il s'agit d'un instrument permettant de réaliser la coordination matérielle entre le droit de l'environnement et le droit de l'aménagement du territoire requise à l' art. 25a LAT (Pierre Tschannen, Umsetzung vom Umweltrecht in der Raumplanung, DEP 2005 p. 423; Rudolf Muggli, Umweltprüfung vor der Projektierung, DEP 2004 p. 451). Cette obligation vaut également en cas de modification d'un plan général d'affectation des zones (Martin Pestalozzi, Bedeutung und Schwerpunkte der umweltrechtlichen Fragestellung in der Nutzungsplanung, DEP 2000 p. 772 et les références citées). Le rapport de conformité selon l' art. 47 OAT ne fait pas partie intégrante du plan, mais il constitue une aide à la décision à l'attention de l'autorité d'approbation (Rudolf Muggli, op. cit., DEP 2004 p. 453). Il doit se prononcer concrètement sur les questions d'équipement, de bruit et de protection de l'air liées aux modifications proposées. Il doit en outre indiquer si et dans quelle mesure une réalisation des possibilités de construire conforme au plan augmenteront ou, au contraire, diminueront les charges pour l'environnement, et mentionner les mesures éventuelles prises pour éviter ces désagréments (Martin Pestalozzi, op. cit., DEP 2000 p. 775). L'autorité de planification ne saurait se soustraire à l'obligation de vérifier la conformité de la modification d'une zone aux exigences du droit de l'environnement sous prétexte que les possibilités de construire offertes sont vastes et définies abstraitement. Cet examen revêt d'autant plus d'importance que le plan d'affectation ne peut en principe pas être remis en cause ultérieurement sur les points qui ont été adoptés définitivement, à l'occasion d'une procédure d'autorisation de construire relative à un projet concret (cf. ATF 125 II 643 consid. 5d in fine p. 657 et les arrêts cités). L'étendue de cet examen varie toutefois selon le degré de précision du plan. Ainsi,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dans les autres cas, elle doit être convaincue qu'un développement de la zone peut se faire de manière conforme à ces exigences moyennant, le cas échéant, des aménagements à définir dans la procédure d'autorisation de construire (Rudolf Muggli, Der Umweltteil des Planungsberichts nach Art. 47 der Raumplanungsverordnung, Cahier de l'environnement n° 179, OFEFP 2005, ch. 6.3.4, p. 48; Thomas Widmer Dreifuss, Planung und Realisierung von Sportanlagen, thèse Zurich 2002, p. 136; voir aussi ATF 129 II 276 consid. 3.4 p. 280, s'agissant d'un plan d'alignement; arrêt 1A.124/2004 du 31 mai 2005 consid. 5.2 paru à la SJ 2005 I 539; arrêt 1A.96/1994 du 18 mai 1995, consid. 4b non publié aux ATF 121 II 190 , mais reproduit in RDAF 1995 p. 350).</w:t>
      </w:r>
    </w:p>
    <w:p>
      <w:r>
        <w:rPr>
          <w:b/>
        </w:rPr>
        <w:t>E. 1.4</w:t>
      </w:r>
    </w:p>
    <w:p>
      <w:r>
        <w:t>En l'occurrence, une détermination exhaustive des nuisances inhérentes aux nouvelles possibilités de bâtir offertes dans la zone de l'ordre dispersé 3E, densité 0,80, n'est pas possible, car le plan ne définit pas avec exactitude la nature, l'implantation et le nombre des constructions et installations autorisées. Toutefois, les nouvelles dispositions fixent des règles précises en ce qui concerne la densité des constructions et leur dimension, qui permettent d'apprécier l'ampleur de celles-ci et, dans une certaine mesure, leur impact sur l'environnement; par ailleurs, selon le rapport de conformité prévu à l' art. 47 al. 1 OAT , l'adoption de cette zone répond au voeu de l'intimée d'aménager un centre de bien-être et de loisirs, d'une part, et à la volonté de la Commune de Lens de créer un parking souterrain semi-public destiné à soulager le centre de la localité du trafic automobile, d'autre part. Les autorités de planification et d'approbation devaient tenir compte de ces éléments dans l'examen qu'elles devaient faire de la compatibilité des modifications du plan et de son règlement avec les exigences du droit de l'environnement. Elles devaient ainsi s'assurer que les nouvelles constructions et installations possibles et celles envisagées n'étaient pas d'emblée incompatibles avec les exigences de la protection de l'environnement. Une évaluation même sommaire était suffisante en l'absence d'un projet concret. Il ne ressort pas du dossier qu'une telle évaluation aurait été faite. Le rapport de conformité établi par la Commune de Lens est muet à ce sujet. Il ne contient aucune indication sur le nombre de véhicules empruntant la route communale et sur le niveau actuel du bruit dans le secteur, qui permettrait d'emblée de retenir que l'augmentation prévisible du trafic automobile inhérente aux possibilités de construire dans le secteur de Combattion pourrait manifestement être contenue dans des limites acceptables. Le Conseil d'Etat a renvoyé l'examen de cette question au stade ultérieur de l'autorisation de construire. Le Service cantonal de l'aménagement du territoire s'est borné, dans son préavis, à répondre aux arguments des recourants, en précisant que le parking souterrain devrait faire l'objet d'un plan d'affectation spécial s'il devait être soumis à une étude de l'impact sur l'environnement. La procédure menée devant le Tribunal cantonal n'a pas permis de réparer cette lacune.</w:t>
      </w:r>
    </w:p>
    <w:p>
      <w:r>
        <w:t>Les recourants se plaignent ainsi à juste titre d'une violation des prescriptions du droit fédéral de la protection de l'environnement.</w:t>
      </w:r>
    </w:p>
    <w:p>
      <w:r>
        <w:rPr>
          <w:b/>
        </w:rPr>
        <w:t>E. 2</w:t>
      </w:r>
    </w:p>
    <w:p>
      <w:r>
        <w:t>Le considérant qui précède conduit à l'admission du recours, à l'annulation de l'arrêt attaqué et au renvoi de la cause au Tribunal cantonal afin qu'il instruise ce point.</w:t>
      </w:r>
    </w:p>
    <w:p>
      <w:r>
        <w:t>Un émolument judiciaire doit être mis à la charge de l'intimée qui succombe ( art. 156 al. 1 OJ ). Celle-ci versera une indemnité de dépens à la recourante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