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1A.27/2001 vom 31. Oktober 2001</w:t>
      </w:r>
    </w:p>
    <w:p>
      <w:r>
        <w:t>Bundesgericht, 2001-10-31, FR</w:t>
      </w:r>
    </w:p>
    <w:p>
      <w:r>
        <w:rPr>
          <w:b/>
        </w:rPr>
        <w:t xml:space="preserve">Quelle: </w:t>
      </w:r>
      <w:r>
        <w:t>https://mcp.opencaselaw.ch/entscheid/bger_1A.27_2001</w:t>
      </w:r>
    </w:p>
    <w:p>
      <w:r>
        <w:t>FR: TF 1A.27/2001 du 31 octobre 2001</w:t>
      </w:r>
    </w:p>
    <w:p>
      <w:r>
        <w:t>IT: TF 1A.27/2001 del 31 ottobre 2001</w:t>
      </w:r>
    </w:p>
    <w:p>
      <w:pPr>
        <w:pStyle w:val="Heading2"/>
      </w:pPr>
      <w:r>
        <w:t>Regeste</w:t>
      </w:r>
    </w:p>
    <w:p>
      <w:r>
        <w:t>Aménagement du territoire et droit public des constructions</w:t>
      </w:r>
    </w:p>
    <w:p>
      <w:pPr>
        <w:pStyle w:val="Heading2"/>
      </w:pPr>
      <w:r>
        <w:t>Erwägungen</w:t>
      </w:r>
    </w:p>
    <w:p>
      <w:r>
        <w:rPr>
          <w:b/>
        </w:rPr>
        <w:t>E. 1</w:t>
      </w:r>
    </w:p>
    <w:p>
      <w:r>
        <w:t>Le Tribunal fédéral examine d'office la qualification juridique et la recevabilité des recours de droit public et de droit administratif ( ATF 127 I 92 consid. 1 et les arrêts cités). a) Lorsque les recours de droit public et de droit administratif sont, comme en l'espèce, présentés dans un même mémoire ( ATF 126 I 50 consid. 1 p. 52), le recourant doit fournir une motivation distincte et suffisante pour chacun de ces recours. En l'occurrence, les recourants présentent différents moyens, mais ne précisent nullement à quelle voie de droit chacun d'eux est rattaché. Cela empêche la cour de céans d'examiner si les griefs soulevés satisfont aux exigences des art. 90 al. 1 let. b, respectivement 108 al. 3 OJ. b) Par ailleurs, les conclusions présentées sont également mélangées, alors qu'elles vont au-delà de la simple cassation de l'arrêt attaqué, et sont, s'agissant du recours de droit public, irrecevables. c) Il n'y a pas lieu d'examiner les conséquences de ces irrégularités, car le recours doit de toute façon être déclaré irrecevable pour défaut de qualité pour agir, comme cela est relevé ci-après.</w:t>
      </w:r>
    </w:p>
    <w:p>
      <w:r>
        <w:rPr>
          <w:b/>
        </w:rPr>
        <w:t>E. 2</w:t>
      </w:r>
    </w:p>
    <w:p>
      <w:r>
        <w:t>a) Outre APV, destinataire de l'arrêt attaqué, les auteurs des recours sont le Comité de défense des Contamines, (association ayant pour but statutaire la préservation de l'aspect du quartier des Contamines, en particulier du périmètre couvert par le PLQ 21795, en s'opposant à toute modification de ce plan), ainsi que des propriétaires et habitants de ce secteur. Or, il apparaît d'emblée que ces personnes n'ont guère participé à la procédure devant le Tribunal administratif. Ils se plaignent eux-mêmes de ce qu'aucune décision n'a été rendue par la commission au sujet de leurs recours et font valoir, à ce sujet, un déni de justice formel. Ils auraient certes qualité pour soulever un tel grief, pour autant toutefois qu'il soit directement dirigé contre la dernière instance cantonale. Or, les recourants ne se sont pas plaints du déni de justice reproché à la commission devant la cour cantonale; ils ne sauraient dès lors reprocher à cette dernière de ne pas les avoir admis à la procédure de recours. Faute d'épuisement des instances ( art. 86 OJ ), leur recours - vraisemblablement de droit public sur ce point - est irrecevable. A supposer que les recourants précités entendent partager avec APV l'argumentation soulevée sur le fond (comme cela est relevé ci-dessus, le recours n'indique pas clairement quels sont les griefs soulevés par les différents recourants), le recours - qu'il soit de droit administratif ou de droit public - serait également irrecevable puisque les recourants ne sont pas destinataires de l'arrêt attaqué. b) Il reste à examiner si APV, destinataire de l'arrêt attaqué, a qualité pour agir sur le fond. Pour l'essentiel, son argumentation est fondée sur l'application de l' art. 35 al. 3 LAT , soit sur la caducité du PLQ 21795. Dirigé contre l'octroi d'une autorisation de démolir et de construire en zone à bâtir, le recours ne porte pas sur les questions énumérées à l' art. 34 al. 1 LAT ni, directement, sur des points relatifs à la protection de l'environnement ou à la protection contre le bruit. La recourante soutient certes que cette protection ne serait plus assurée si la solution adoptée par le Tribunal administratif devait être confirmée, mais elle voit dans cet arrêt un effet général, analogue à une mesure de planification, qu'il ne possède manifestement pas (cf. consid. dd ci-dessous). Seul est par conséquent ouvert le recours de droit public ( art. 34 al. 3 LAT ), et la qualité pour agir de la recourante doit être examinée sous l'angle de l' art. 88 OJ . aa) Selon cette disposition, ont qualité pour former un recours de droit public les particuliers ou les collectivités lésés par des arrêtés ou décisions qui les concernent personnellement ou qui sont d'une portée générale. En matière d'autorisation de construire, le Tribunal fédéral ne reconnaît la qualité pour recourir qu'aux personnes - notamment les voisins - qui invoquent la violation de dispositions du droit des constructions destinées à les protéger ou édictées à la fois dans l'intérêt public et dans leur propre intérêt. Ces personnes doivent en outre se trouver dans le champ de protection des dispositions dont elles allèguent la violation, et être touchées par les effets prétendument illicites de la construction ou de l'installation litigieuse ( ATF 121 I 267 consid. 2 p. 268 et les arrêts cités; 127 I 44 consid. 2c p. 46). La jurisprudence constante ne permet pas, en revanche, de se prévaloir des principes généraux de la planification, des prescriptions sur la protection de la nature et du paysage ( ATF 116 Ia 433 consid. 2a p. 437) et des clauses d'esthétique ( ATF 118 Ia 232 consid. 1b p. 235; 112 Ia 88 consid. 1b p. 90) qui tendent exclusivement à préserver l'intérêt public. Les voisins peuvent, en revanche, invoquer les prescriptions relatives aux distances, aux dimensions des bâtiments et à la densité des constructions, qui sont des règles mixtes ( ATF 118 Ia 232 consid. 1b p. 235). bb) Gesval soutient que le recours d'APV aurait dû être déclaré irrecevable: l'art. 145 al. 3 LCI, dans sa teneur jusqu'au 1er janvier 2000, ne reconnaissait la qualité pour recourir aux associations d'importance cantonale qu'à l'encontre de certaines décisions limitativement énumérées, ayant pour objet des immeubles situés en zone protégée, dans un plan de site ou au bénéfice d'une dérogation, hypothèses non réalisées en l'espèce. La Commission LCI - et, à sa suite, la cour cantonale - aurait appliqué à tort, par anticipation, la nouvelle teneur de l'art. 145 al. 3 LCI. Gesval en déduit que le présent recours devrait être rejeté, afin de réparer cette irrégularité. Cet argument ne peut être suivi: l'objet du recours est un arrêt cantonal à l'occasion duquel la qualité pour agir de APV a été admise. Compte tenu du pouvoir d'examen et de décision du Tribunal fédéral, saisi d'un recours de droit public, il n'appartient pas à la cour de céans de réparer une irrégularité qui ne lui est pas valablement soumise. Par ailleurs, la qualité pour agir par la voie du recours de droit public se détermine exclusivement selon l' art. 88 OJ ; il importe peu à cet égard dans quelle mesure la qualité de partie a pu être reconnue - éventuellement à tort - en procédure cantonale ( ATF 126 I 43 consid. 1a p. 44). cc) Une association jouissant de la personnalité juridique est autorisée à recourir sans être elle-même touchée par l'acte attaqué, à condition que ses membres aient individuellement qualité pour agir, que la défense de leurs intérêts constitutionnellement protégés figure parmi ses buts statutaires et qu'enfin l'acte lèse objectivement les membres dans leur majorité ou du moins en grand nombre ( ATF 122 I 90 consid. 2c, 119 Ia 197 consid. 1c/bb, 114 Ia 452 p. 456 consid. bb). Ces conditions ne sont pas réunies en l'espèce. Selon ses statuts, APV a pour but la protection et la mise en valeur du patrimoine architectural genevois et des sites du canton dignes de protection. Elle s'efforce de prévenir les atteintes portées à ce patrimoine, notamment par des mesures d'information, des interventions auprès des propriétaires et des propositions de mesures de protection; elle veille au respect des mesures de planification et des normes applicables et recourt, le cas échéant, contre les autorisations de construire ou de démolir. Son activité s'étend ainsi au canton de Genève dans son ensemble, sans être limitée à la sauvegarde d'un bâtiment spécifique ou d'un quartier particulier. Toute personne physique ou groupement se préoccupant du même objectif peut y adhérer. On ne saurait admettre, dans ces conditions, qu'un grand nombre des membres de l'association soit concrètement touché par l'autorisation de démolir le bâtiment de la clinique de Bois-Gentil et de reconstruire, à sa place, un immeuble d'habitation. Il n'est pas prétendu, en particulier, qu'un certain nombre de membres de l'association soient des voisins des parcelles litigieuses. Ainsi, la démolition et la construction projetées ne porteront aucune atteinte à la situation juridique de l'association recourante ou de ses membres; celle-ci agit clairement dans l'intérêt général. L'essentiel du recours n'est d'ailleurs pas motivé par la nécessité de conserver l'immeuble de la clinique de Bois-Gentil, mais par le souci d'éviter que la planification en vigueur dans la ville de Genève ne soit déclarée caduque dans son ensemble. L'intervention de APV apparaît ainsi comme une véritable action populaire, dans l'intérêt de la loi, ce qui ne suffit pas à fonder sa qualité pour recourir. Le grief d'arbitraire ne saurait, lui non plus, fournir une légitimation suffisante ( ATF 126 I 80 ). dd) APV soutient que l'acte attaqué serait de portée générale, car il aurait pour effet de déclarer caduque la plupart des plans applicables à la ville de Genève, en particulier les plans de zone. Il en résulterait que APV serait privée, à l'avenir, du droit de recourir contre des autorisations de construire ou de démolir en invoquant le respect de cette planification. L'arrêt attaqué n'a toutefois pas la portée que lui prête la recourante. Il s'agit en effet uniquement du rétablissement, par la cour cantonale, d'une autorisation de démolir et de construire, sur des parcelles déterminées. La force de chose jugée de l'arrêt est limitée à cet objet particulier. Le cas échéant, la recourante aura - dans les limites de sa qualité pour agir - la faculté de recourir à l'occasion d'une autorisation ultérieure, en invoquant le respect de la planification qui devrait, selon elle, s'appliquer. La qualité pour recourir ne saurait donc être admise sur cette base.</w:t>
      </w:r>
    </w:p>
    <w:p>
      <w:r>
        <w:rPr>
          <w:b/>
        </w:rPr>
        <w:t>E. 3</w:t>
      </w:r>
    </w:p>
    <w:p>
      <w:r>
        <w:t>Sur le vu de ce qui précède, le recours de droit public et de droit administratif apparaît irrecevable. Un émolument judiciaire est mis à la charge des recourants, qui succombent (art. 156 l. 1 OJ). L'intimée Gesval, qui obtient gain de cause et a procédé avec un avocat, a droit à une indemnité de dépens, à la charge solidaire des recourants.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