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1A.270/2006 vom 13. März 2007</w:t>
      </w:r>
    </w:p>
    <w:p>
      <w:r>
        <w:t>Bundesgericht, 2007-03-13, FR</w:t>
      </w:r>
    </w:p>
    <w:p>
      <w:r>
        <w:rPr>
          <w:b/>
        </w:rPr>
        <w:t xml:space="preserve">Quelle: </w:t>
      </w:r>
      <w:r>
        <w:t>https://mcp.opencaselaw.ch/entscheid/bger_1A.270_2006</w:t>
      </w:r>
    </w:p>
    <w:p>
      <w:r>
        <w:t>FR: TF 1A.270/2006 du 13 mars 2007</w:t>
      </w:r>
    </w:p>
    <w:p>
      <w:r>
        <w:t>IT: TF 1A.270/2006 del 13 marzo 2007</w:t>
      </w:r>
    </w:p>
    <w:p>
      <w:pPr>
        <w:pStyle w:val="Heading2"/>
      </w:pPr>
      <w:r>
        <w:t>Erwägungen</w:t>
      </w:r>
    </w:p>
    <w:p>
      <w:r>
        <w:rPr>
          <w:b/>
        </w:rPr>
        <w:t>E. 1</w:t>
      </w:r>
    </w:p>
    <w:p>
      <w:r>
        <w:t>Conformément à l' art. 110b EIMP , les procédures de recours contre des décisions rendues, comme en l'espèce, avant l'entrée en vigueur de la nouvelle réglementation sont soumises à l'ancien droit.</w:t>
      </w:r>
    </w:p>
    <w:p>
      <w:r>
        <w:rPr>
          <w:b/>
        </w:rPr>
        <w:t>E. 1.1</w:t>
      </w:r>
    </w:p>
    <w:p>
      <w:r>
        <w:t>L'entraide judiciaire entre la France et la Suisse est régie par la Convention européenne d'entraide judiciaire (CEEJ; RS 0.351.1) et l'accord complémentaire du 28 octobre 1996 (RS 0.351.934.92).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1.2</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 Les recourantes ont qualité pour agir, en tant que titulaires des comptes bancaires au sujet desquels le Juge d'instruction a décidé de transmettre des renseignements ( art. 80h let. b EIMP et 9a let. a OEIMP), en tant que société soumise à une mesure de perquisition et de saisie ( art. 9a let. b OEIMP ) et en tant que personnes morales dont des responsables ont été appelés à témoigner ( ATF 126 II 258 consid. 2d/bb p. 261).</w:t>
      </w:r>
    </w:p>
    <w:p>
      <w:r>
        <w:rPr>
          <w:b/>
        </w:rPr>
        <w:t>E. 2</w:t>
      </w:r>
    </w:p>
    <w:p>
      <w:r>
        <w:t>Selon les recourantes, le juge d'instruction français n'apporterait aucune précision quant à leurs liens supposés avec l'écurie E.________. C.________ n'était pas intervenue directement dans une vente de cheval à cette écurie, et les ventes effectuées par B.________ n'avaient rien de suspect. Quant à A.________, elle ne faisait que représenter les deux autres sociétés.</w:t>
      </w:r>
    </w:p>
    <w:p>
      <w:r>
        <w:rPr>
          <w:b/>
        </w:rPr>
        <w:t>E. 2.1</w:t>
      </w:r>
    </w:p>
    <w:p>
      <w:r>
        <w:t>Par cette argumentation, les recourantes remettent en cause l'exposé des faits fourni à l'appui de la demande. Il ne s'agit pas là d'une question de proportionnalité, mais de respect des art. 28 EIMP et 14 CEEJ. Selon ces dispositions,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et que le principe de la proportionnalité est respecté ( ATF 118 Ib 111 consid. 4b et les arrêts cités).</w:t>
      </w:r>
    </w:p>
    <w:p>
      <w:r>
        <w:t>Selon la jurisprudence, l'on ne saurait exiger de l'Etat requérant un exposé complet et exempt de toute lacune, puisque la procédure d'entraide a précisément pour but d'apporter aux autorités de l'Etat requérant des renseignements au sujet des points demeurés obscurs (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w:t>
      </w:r>
    </w:p>
    <w:p>
      <w:r>
        <w:rPr>
          <w:b/>
        </w:rPr>
        <w:t>E. 2.2</w:t>
      </w:r>
    </w:p>
    <w:p>
      <w:r>
        <w:t>Lorsque l'entraide judiciaire est requise, comme en l'espèce, pour la répression d'infractions de blanchiment, la demande doit comporter des indications suffisantes pour admettre l'existence d'une infraction préalable, comme l'exige en droit suisse l' art. 305bis CP . L'autorité requérante ne peut se contenter d'évoquer la possibilité abstraite que les mouvements de fonds aient une origine criminelle (arrêt 1A.188/ 2005 du 24 octobre 2005, consid. 2.2-2.4 et les arrêts cités). Elle n'a certes pas à prouver l'existence d'une infraction préalable ( ATF 129 II 97 ), mais elle doit préciser pour quelles raisons elle considère que certaines transactions sont suspectes, et ne peut par exemple se contenter de produire une simple liste de personnes recherchées et des montants transférés. Il lui faut joindre des éléments propres à démontrer, au moins à première vue, que les comptes visés ont effectivement servi au transfert des fonds dont on soupçonne l'origine délictueuse ( ATF 130 II 329 consid 5.1 p. 335 et la jurisprudence citée).</w:t>
      </w:r>
    </w:p>
    <w:p>
      <w:r>
        <w:rPr>
          <w:b/>
        </w:rPr>
        <w:t>E. 2.3</w:t>
      </w:r>
    </w:p>
    <w:p>
      <w:r>
        <w:t>La demande d'entraide répond à ces exigences. En effet, le Juge d'instruction parisien expose que D.________ est soupçonné d'avoir blanchi le produit de ses escroqueries par le biais de transactions portant sur des chevaux; des écoutes téléphoniques avaient mis au jour des prétentions qu'il élevait sur l'écurie E.________. En mars 2002, un cheval avait été vendu pour 1,5 million d'euros, ce qui aurait permis l'achat d'un autre cheval; les paiements correspondant provenaient de C.________. En février 2003, l'écurie avait acheté deux chevaux, payés à B.________. Ces deux sociétés avaient en commun leur représentation par A.________. Pour l'autorité requérante, l'entraide requise a pour but de confirmer ou d'infirmer l'hypothèse du blanchiment d'argent. La demande d'entraide mentionne ainsi en quoi consiste l'infraction préalable, quel en serait l'auteur, et les raisons pour lesquelles elle a été amenée à s'intéresser notamment aux sociétés recourantes. Ses soupçons sont certes ténus, mais ils sont présentés comme de simples hypothèses à vérifier, ce qu'une autorité requérante est parfaitement légitimée à faire. Les recourantes font, à cet égard, valoir une argumentation à décharge qui n'a pas sa place dans la procédure d'entraide.</w:t>
      </w:r>
    </w:p>
    <w:p>
      <w:r>
        <w:rPr>
          <w:b/>
        </w:rPr>
        <w:t>E. 3</w:t>
      </w:r>
    </w:p>
    <w:p>
      <w:r>
        <w:t>Invoquant le principe de la proportionnalité, les recourantes estiment que les quelques opérations ponctuelles mentionnées dans la demande ne justifiaient pas les investigations requises, notamment la production de deux ans de décomptes bancaires. L'entraide devrait être limitée aux transactions liant les recourantes aux personnes impliquées dans la procédure pénale. En outre, le juge d'instruction avait procédé à une transmission en vrac, sans permettre aux recourantes de s'exprimer et sans motiver sa décision.</w:t>
      </w:r>
    </w:p>
    <w:p>
      <w:r>
        <w:rPr>
          <w:b/>
        </w:rPr>
        <w:t>E. 3.1</w:t>
      </w:r>
    </w:p>
    <w:p>
      <w:r>
        <w:t>Du point de vue du droit d'être entendu, la procédure suivie par le juge d'instruction ne prête pas le flanc à la critique. Il apparaît en effet qu'après la décision d'entrée en matière du 2 mai 2005, les recourantes ont pu consulter le dossier et prendre connaissance des pièces destinées à la transmission. Elles ont présenté des observations écrites le 29 novembre 2005 et ont fait valoir leurs objections à la transmission des pièces bancaires et des procès-verbaux. Leur droit de participer au tri des pièces a ainsi été respecté. Quant au juge d'instruction, il a lui aussi procédé à un tri puisqu'il a restitué certaines pièces à A.________ et a renoncé à la transmission des documents d'ouverture des comptes bancaires. Quoi que succincte, sa décision de clôture est suffisamment motivée: il est relevé, en particulier, que l'autorité requérante demandait une documentation complète, non limitée aux pièces en lien avec C.________ ou B.________. Le grief doit être écarté.</w:t>
      </w:r>
    </w:p>
    <w:p>
      <w:r>
        <w:rPr>
          <w:b/>
        </w:rPr>
        <w:t>E. 3.2</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p. 243).</w:t>
      </w:r>
    </w:p>
    <w:p>
      <w:r>
        <w:rPr>
          <w:b/>
        </w:rPr>
        <w:t>E. 3.3</w:t>
      </w:r>
    </w:p>
    <w:p>
      <w:r>
        <w:t>La transmission confirmée par la cour cantonale respecte ces principes. En effet, selon la mission décrite par l'autorité requérante, il s'agit de retrouver "l'ensemble des comptes bancaires dont sont titulaires les sociétés C.________, B.________, A.________...", et d'obtenir les relevés du 1er janvier 2003 au 31 décembre 2004. L'autorité requérante désire ainsi confirmer ou infirmer le soupçon selon lequel les fonds provenant des escroqueries auraient pu être investis notamment dans l'écurie E.________. Pour cela, il apparaît effectivement nécessaire de connaître les véritables auteurs des transactions, afin de déterminer s'il existe un lien avec D.________, auteur principal des escroqueries.</w:t>
      </w:r>
    </w:p>
    <w:p>
      <w:r>
        <w:t>Il apparaît ainsi que la mission décrite par l'autorité requérante n'a rien d'excessif et que le Juge d'instruction n'a pas violé le principe de la proportionnalité en y donnant suite. La période visée, soit du 1er janvier 2003 au 31 décembre 2004, apparaît nécessaire et suffisante pour vérifier le mode de gestion des comptes et s'assurer que les transactions suspectes n'ont pas été précédées ou suivies d'opérations du même genre. Il est certes possible que les comptes des recourantes n'aient pas servi à recycler le produit des infractions évoquées par l'autorité requérante, mais celle-ci n'en dispose pas moins d'un intérêt à pouvoir le vérifier elle-même sur le vu d'une documentation complète.</w:t>
      </w:r>
    </w:p>
    <w:p>
      <w:r>
        <w:rPr>
          <w:b/>
        </w:rPr>
        <w:t>E. 4</w:t>
      </w:r>
    </w:p>
    <w:p>
      <w:r>
        <w:t>Le recours de droit administratif doit par conséquent être rejeté, aux frais des recourantes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