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1A.26/2005 vom 4. August 2005</w:t>
      </w:r>
    </w:p>
    <w:p>
      <w:r>
        <w:t>Bundesgericht, 2005-08-04, FR</w:t>
      </w:r>
    </w:p>
    <w:p>
      <w:r>
        <w:rPr>
          <w:b/>
        </w:rPr>
        <w:t xml:space="preserve">Quelle: </w:t>
      </w:r>
      <w:r>
        <w:t>https://mcp.opencaselaw.ch/entscheid/bger_1A.26_2005</w:t>
      </w:r>
    </w:p>
    <w:p>
      <w:r>
        <w:t>FR: TF 1A.26/2005 du 4 août 2005</w:t>
      </w:r>
    </w:p>
    <w:p>
      <w:r>
        <w:t>IT: TF 1A.26/2005 del 4 agosto 2005</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et librement la recevabilité et la qualification juridique des recours qui lui sont soumis ( ATF 130 II 67 consid. 1 et les arrêts cités).</w:t>
      </w:r>
    </w:p>
    <w:p>
      <w:r>
        <w:rPr>
          <w:b/>
        </w:rPr>
        <w:t>E. 1.1</w:t>
      </w:r>
    </w:p>
    <w:p>
      <w:r>
        <w:t>Les recourants déclarent agir principalement par la voie du recours de droit administratif. Selon eux, l'arrêt cantonal n'est pas fondé sur une interprétation de la réglementation relative à la zone industrielle, mais sur les nuisances que l'exploitation pourra provoquer dans les zones voisines. Les recourants y discernent une application de la législation fédérale de protection contre le bruit, ce qui ouvrirait la voie du recours de droit administratif.</w:t>
      </w:r>
    </w:p>
    <w:p>
      <w:r>
        <w:rPr>
          <w:b/>
        </w:rPr>
        <w:t>E. 1.2</w:t>
      </w:r>
    </w:p>
    <w:p>
      <w:r>
        <w:t>Dans la procédure cantonale de recours, le Tribunal administratif a informé les parties, le 22 juin 2004 qu'il envisageait de statuer "à titre préjudiciel" sur la conformité de l'installation projetée à l'affectation de la zone, avant de poursuivre l'instruction sur la question du bruit et la visite des lieux. Les parties ont acquiescé à ce mode de procéder. Ainsi, l'arrêt cantonal est exclusivement consacré à l'examen de cette question, comme cela est rappelé à son consid. 1, et la procédure de recours devant le Tribunal fédéral ne saurait permettre une extension de l'objet du litige aux questions de protection contre le bruit. Certes, tout en affirmant que les nuisances doivent être examinées dans le cadre de la législation fédérale de protection de l'environnement et non en rapport avec la conformité à la zone, le Tribunal administratif a, de manière contradictoire, considéré que les nuisances provoquées par l'exploitation du karting pouvaient toucher des locaux à usage sensible dans d'autres zones plus sévèrement réglementées. Contrairement à ce que soutiennent les recourants, il ne s'agit toutefois pas là de l'unique motif de rejet du recours. Examinant l'argument relatif au respect de la bonne foi, le Tribunal administratif a en effet relevé que la commune avait décidé d'exclure tout changement d'affectation à l'extérieur des bâtiments, alors qu'elle l'avait toléré pour les activités intérieures. Cette distinction entre activités intérieures et extérieures, reposant sur l'interprétation du RPE, constitue le motif essentiel pour nier la conformité du projet à l'affectation de la zone. Dès lors, l'arrêt cantonal demeure limité à cette question, en dépit d'une rédaction équivoque. Il s'ensuit que seul le recours de droit public est ouvert puisque l'arrêt attaqué se rapporte à une autorisation de construire en zone à bâtir, et que l'application du droit de l'aménagement du territoire est seule en jeu (art. 34 al. 3 de la loi fédérale sur l'aménagement du territoire - LAT; RS 700). Le recours de droit administratif est par conséquent irrecevable.</w:t>
      </w:r>
    </w:p>
    <w:p>
      <w:r>
        <w:rPr>
          <w:b/>
        </w:rPr>
        <w:t>E. 1.3</w:t>
      </w:r>
    </w:p>
    <w:p>
      <w:r>
        <w:t>L'arrêt attaqué met fin, par un refus définitif, à la procédure d'autorisation de construire. Les recourants ont qualité pour agir ( art. 88 OJ ). Compte tenu de la nature cassatoire du recours de droit public, la conclusion tendant au renvoi de la cause à la cour cantonale pour nouvelle décision est superfétatoire et, partant, irrecevable.</w:t>
      </w:r>
    </w:p>
    <w:p>
      <w:r>
        <w:rPr>
          <w:b/>
        </w:rPr>
        <w:t>E. 2</w:t>
      </w:r>
    </w:p>
    <w:p>
      <w:r>
        <w:t>Pour les recourants, la distinction entre installations intérieures et extérieures ne serait pas décisive. La Municipalité aurait d'ailleurs entrepris une modification de l'art. 1er du RPE en ajoutant les activités de loisirs extérieures.</w:t>
      </w:r>
    </w:p>
    <w:p>
      <w:r>
        <w:rPr>
          <w:b/>
        </w:rPr>
        <w:t>E. 2.1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w:t>
      </w:r>
    </w:p>
    <w:p>
      <w:r>
        <w:rPr>
          <w:b/>
        </w:rPr>
        <w:t>E. 2.2</w:t>
      </w:r>
    </w:p>
    <w:p>
      <w:r>
        <w:t>En l'occurrence, l'interprétation soutenue par la Municipalité, et confirmée - dans son résultat tout au moins - par le Tribunal administratif, n'a rien d'insoutenable. Selon l'art. 1 RPE, la zone concernée est réservée aux bâtiments industriels, garages, dépôts et stations-service, ainsi qu'aux locaux d'habitation nécessaires au gardiennage. Le règlement n'autorise pas les installations de loisirs. Toutefois, selon la pratique rappelée par le Tribunal administratif, des activités commerciales ont pu être autorisées au sein de différentes zones industrielles, soit en application du principe de l'égalité de traitement, soit en raison des nuisances que pouvaient provoquer l'implantation de ces exploitations dans les autres zones. Selon l'art. 8 RPE, la loi sur les constructions et l'aménagement du territoire et son règlement d'application, ainsi que le règlement communal sur le plan d'extension et la police des constructions sont notamment applicables pour tout ce qui ne figure pas dans le RPE. La zone industrielle est régie par les art. 55 ss du règlement communal sur le plan général d'affectation et la police des constructions (RCA). Or, selon cette disposition, la zone industrielle est réservée aux établissements industriels, commerciaux, fabriques, garages-ateliers ou industriels, ainsi qu'aux entreprises artisanales et aux "locaux destinés aux loisirs ou sports". Ces dernières activités font figure d'exception dans une zone industrielle, normalement réservée aux activités des secteurs secondaires et primaires. La notion de locaux destinés aux loisirs ou aux sports peut par conséquent recevoir une interprétation restrictive, limitée à l'intérieur des bâtiments, à l'exclusion des activités extérieures. Outre qu'une telle distinction se fonde sur le texte clair de l'art. 55 RCA, elle repose également, comme l'a relevé le Tribunal administratif, sur les différences évidentes entre les deux modes d'exploitation du point de vue de la configuration du sol et des nuisances.</w:t>
      </w:r>
    </w:p>
    <w:p>
      <w:r>
        <w:rPr>
          <w:b/>
        </w:rPr>
        <w:t>E. 2.3</w:t>
      </w:r>
    </w:p>
    <w:p>
      <w:r>
        <w:t>Loin de confirmer l'argumentation des recourants, le fait que la Municipalité ait accepté, à leur requête, d'entreprendre une modification de la réglementation du PEP afin de permettre la réalisation du projet, montre que celui-ci n'était pas réalisable selon la réglementation actuelle. Pour le surplus, les recourants renoncent à invoquer le principe de la bonne foi, et il apparaît clairement qu'ils ne sauraient se prévaloir des autorisations accordées, depuis 1997, pour les aménagements intérieurs.</w:t>
      </w:r>
    </w:p>
    <w:p>
      <w:r>
        <w:rPr>
          <w:b/>
        </w:rPr>
        <w:t>E. 3</w:t>
      </w:r>
    </w:p>
    <w:p>
      <w:r>
        <w:t>Sur le vu de ce qui précède, le recours de droit administratif est irrecevable, et le recours de droit public doit être rejeté. Conformément à l' art. 156 al. 1 OJ , un émolument judiciaire global est mis à la charge des recourants, de même que l'indemnité de dépens allouée à la Municipalité de Payerne, qui a procédé par un avocat. Propriétaires voisins, les intimés C.________ et D.________ (lequel n'a pas produit de procuration en faveur de son avocat) étaient opposants et parties à la procédure cantonale de recours. Susceptibles d'être touchés dans leurs droits, ils pouvaient se voir reconnaître la qualité de parties devant le Tribunal fédéral. Toutefois, compte tenu de l'issue évidente de la cause, la cour de céans n'avait pas jugé opportun de demander d'office une détermination à l'ensemble des destinataires de l'arrêt cantonal. Par conséquent, si l'intervention spontanée des intimés est certes recevable, ceux-ci n'auront droit qu'à des dépens réduits, à la charge solidaire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