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1A.268/1999 vom 24. Januar 2000</w:t>
      </w:r>
    </w:p>
    <w:p>
      <w:r>
        <w:t>Bundesgericht, 2000-01-24, DE</w:t>
      </w:r>
    </w:p>
    <w:p>
      <w:r>
        <w:rPr>
          <w:b/>
        </w:rPr>
        <w:t xml:space="preserve">Quelle: </w:t>
      </w:r>
      <w:r>
        <w:t>https://mcp.opencaselaw.ch/entscheid/bger_1A.268_1999</w:t>
      </w:r>
    </w:p>
    <w:p>
      <w:r>
        <w:t>FR: TF 1A.268/1999 du 24 janvier 2000</w:t>
      </w:r>
    </w:p>
    <w:p>
      <w:r>
        <w:t>IT: TF 1A.268/1999 del 24 gennaio 2000</w:t>
      </w:r>
    </w:p>
    <w:p>
      <w:pPr>
        <w:pStyle w:val="Heading2"/>
      </w:pPr>
      <w:r>
        <w:t>Regeste</w:t>
      </w:r>
    </w:p>
    <w:p>
      <w:r>
        <w:t>Rechtshilfe und Auslieferung</w:t>
      </w:r>
    </w:p>
    <w:p>
      <w:pPr>
        <w:pStyle w:val="Heading2"/>
      </w:pPr>
      <w:r>
        <w:t>Erwägungen</w:t>
      </w:r>
    </w:p>
    <w:p>
      <w:r>
        <w:rPr>
          <w:b/>
        </w:rPr>
        <w:t>E. 1</w:t>
      </w:r>
    </w:p>
    <w:p>
      <w:r>
        <w:t>Die vorliegende Beschwerde vom 24. August 1998 richtet sich gegen die Akteneinsichtsverfügung des BAP vom 23. Juli 1998. Der ihm erteilten Rechtsmittelbelehrung entsprechend wandte sich der Beschwerdeführer damals am letzten Tag der ihm genannten Frist von 30 Tagen an das EJPD, um die durch das BAP verfügte teilweise Verweigerung des Akteneinsichtsrechts zu beanstanden. Er rügt - wie erwähnt -, dass das BAP sich jedenfalls bis anhin weigert, ihn im Hinblick auf eine allfällige Auslieferungsbewilligung alle Dokumente des Dossiers B 98454 einsehen zu lassen. Dieses Vorgehen des BundesamtesbezeichneteralsBeweisvereitelung. Das EJPD seinerseits hat die Beschwerde vom 24. August 1998 inzwischen gestützt auf Art. 8 Abs. 1 VwVG zuständigkeitshalber an das Bundesgericht zur weiteren Behandlung und Beurteilung übermittelt. Ob und gegebenenfalls in welchem Umfang eine Beschwerde zulässig ist, prüft das Bundesgericht von Amtes wegen und mit freier Kognition ( BGE 125 I 253 E. 1a und 412 E. 1a, 125 II 293 E. 1a, mit Hinweisen).</w:t>
      </w:r>
    </w:p>
    <w:p>
      <w:r>
        <w:rPr>
          <w:b/>
        </w:rPr>
        <w:t>E. 2</w:t>
      </w:r>
    </w:p>
    <w:p>
      <w:r>
        <w:t>Nach Art. 55 Abs. 1 IRSG entscheidet das BAP über die Auslieferung des Verfolgten. Gestützt auf das IRSG ergangene Verfügungen erstinstanzlicher Bundes- oder letztinstanzlicher kantonaler Behörden unterliegen, soweit das Gesetz nichts anderes bestimmt, der Verwaltungsgerichtsbeschwerde direkt an das Bundesgericht ( Art. 25 Abs. 1 IRSG ). Zwischenverfügungen sind ebenfalls mit Verwaltungsgerichtsbeschwerde anfechtbar, wenn diese wie im vorliegenden Fall gegen die Endverfügung zulässig ist (e contrario Art. 101 lit. a OG ). Das Auslieferungsverfahren in Bezug auf den Beschwerdeführer ist zwar derzeit sistiert, aber nach wie vor hängig. Das den Umfang des Akteneinsichtsrechts bestimmende Schreiben des BAP vom 23. Juli 1998 stellt somit eine Zwischenverfügung im Sinne von Art. 45 Abs. 1 und 2 VwVG dar, die selbständig anfechtbar ist ( Art. 45 Abs. 2 lit. e VwVG ). Eine gegen eine solche Verfügung gerichtete Beschwerde folgt grundsätzlich dem selben Rechtsmittelweg wie die Hauptsache (s. BGE 122 II 211 E. 1c, mit Hinweisen). Zwar hat das am 1. Februar 1997 in Kraft getretene revidierte Rechtshilfegesetz die Zulässigkeit der Beschwerde gegen Zwischenverfügungen eingeschränkt ( Art. 80e ff. IRSG ). Die entsprechenden Bestimmungen betreffen jedoch nicht den zweiten Teil des Gesetzes ("Auslieferung"), sondern nur den dritten Teil ("Andere Rechtshilfe"). Demgemäss ist gegen die vom BAP am 23. Juli 1998 getroffene Zwischenverfügung nicht Verwaltungsbeschwerde an das EJPD zu erheben. Vielmehr ist nach dem Gesagten die Verwaltungsgerichtsbeschwerde an das Bundesgericht jedenfalls dem Grundsatze nach zulässig, wie der Beschwerdedienst des Departementes zutreffend erkannt hat.</w:t>
      </w:r>
    </w:p>
    <w:p>
      <w:r>
        <w:rPr>
          <w:b/>
        </w:rPr>
        <w:t>E. 3</w:t>
      </w:r>
    </w:p>
    <w:p>
      <w:r>
        <w:t>Laut der der Verfügung vom 23. Juli 1998 beigefügten Rechtsmittelbelehrung stand dem Beschwerdeführer eine Frist von 30 Tagen offen, innert der er das Vorgehen des BAP zu beanstanden hatte. Damit übersah das Bundesamt, dass eine Beschwerde gegen eine Zwischenverfügung nach Art. 50 VwVG innert zehn und nicht 30 Tagen zu erheben ist, wie dies nach Art. 106 Abs. 1 OG auch für eine Verwaltungsgerichtsbeschwerde gegen eine Zwischenverfügung gilt. Gemäss einem aus dem Prinzip von Treu und Glauben fliessenden und in Art. 107 Abs. 3 OG ausdrücklich verankerten Grundsatz des öffentlichen Prozessrechts darf jedoch einer Partei aus einer fehlerhaften behördlichen Rechtsmittelbelehrung kein Nachteil erwachsen (s. BGE 124 I 255 E. 1a, mit Hinweisen). Demnach vermag dem Beschwerdeführer der Umstand nicht zu schaden, dass er seine Beschwerde erst am 24. August 1998 (Montag) und damit - in Berücksichtigung von Art. 32 OG - am letzten Tag der ihm angegebenen Frist von 30 Tagen der Post übergeben hat. Ebenso wenig schadet ihm die entsprechend der Rechtsmittelbelehrung erfolgte Zustellung an das EJPD, war dieses doch nach Art. 8 Abs. 1 VwVG von Amtes wegen gehalten, die Beschwerde an das nach dem Gesagten zu Recht als zuständig erachtete Bundesgericht zu senden. Es liesse sich allerdings fragen, ob der Beschwerdeführer die für eine Beschwerde gegen eine Zwischenverfügung massgebende Frist von zehn Tagen verschuldet verpasste. Denn wer die Unrichtigkeit der Rechtsmittelbelehrung erkannte oder bei zumutbarer Sorgfalt hätte erkennen müssen, kann sich nicht auf den genannten Grundsatz von Treu und Glauben berufen, wobei aber nur eine grobe prozessuale Unsorgfalt der betroffenen Partei oder ihres Anwaltes eine falsche Rechtsmittelbelehrung aufzuwiegen vermag ( BGE 124 I 255 E. 1a/aa, mit Hinweisen). Wie es sich diesbezüglich im vorliegenden Fall verhält, kann jedoch offen bleiben, weil auf die Beschwerde ohnehin aus andern Gründen nicht einzutreten ist, wie nachfolgend auszuführen ist.</w:t>
      </w:r>
    </w:p>
    <w:p>
      <w:r>
        <w:rPr>
          <w:b/>
        </w:rPr>
        <w:t>E. 4</w:t>
      </w:r>
    </w:p>
    <w:p>
      <w:r>
        <w:t>Auch wenn die Fehlerhaftigkeit der Rechtsmittelbelehrung, vorliegend also die mangelhafte Angabe hinsichtlich Frist und Rechtsmittelinstanz, für den Beschwerdeführer keinen Nachteil zu bewirken vermag, hat das Bundesgericht auch die weiteren Sachurteilsvoraussetzungen frei zu prüfen (oben E. 1). Angefochten ist - wie ausgeführt - eine im Sinne von Art. 45 Abs. 2 lit. e VwVG ergangene Zwischenverfügung über die (teilweise) Verweigerung der Akteneinsicht in einem Auslieferungsverfahren. Die Verwaltungsgerichtsbeschwerde gegen eine Zwischenverfügung ist nur unter der Voraussetzung zulässig, dass diese einen nicht wieder gutzumachenden Nachteil bewirken kann ( Art. 97 OG in Verbindung mit Art. 45 Abs. 1 VwVG ). Der nicht wieder gutzumachende Nachteil muss auch in den in Art. 45 Abs. 2 VwVG ausdrücklich genannten Fällen vorliegen ( BGE 122 II 211 E. 1c, 120 Ib 97 E. 1c, 116 Ib 344 E. 1c, s. auch BGE vom 23. November 1998 in ASA 68 174). Anders als im Verfahren der staatsrechtlichen Beschwerde genügt jedoch bereits ein schutzwürdiges Interesse an der sofortigen Aufhebung oder Abänderung der Zwischenverfügung. Der nicht wieder gutzumachende Nachteil muss nicht rechtlicher Natur sein, vielmehr reicht auch ein bloss wirtschaftliches Interesse aus, sofern es dem Beschwerdeführer bei der Anfechtung einer Zwischenverfügung nicht lediglich darumgeht, eine Verlängerung oder Verteuerung des Verfahrens zu verhindern ( BGE 120 Ib 97 E. 1c, 116 Ib 344 E. 1c). Einen derartigen Nachteil erleidet der Beschwerdeführer durch die beanstandete Nichtgewährung der Akteneinsicht nicht. Die Frage, ob es mit Art. 26 ff. VwVG vereinbar ist, ihm im Hinblick auf eine allfällige Auslieferungsbewilligung zumindest derzeit die Einsicht in einen Teil des BAP- Dossiers B 98454 vorzuenthalten, kann dem Bundesgericht ohne weiteres noch im Anschluss an den Endentscheid im Auslieferungsverfahren unterbreitet werden. Soweit ein allfälliger prozessualer Mangel im Verfahren vor Bundesgericht nicht geheilt werden könnte, müsste ein für den Beschwerdeführer nachteiliger Endentscheid des Bundesamtes aufgehoben und die Sache zur Gewährung der Akteneinsicht und zu neuem Entscheid an die Vorinstanz zurückgewiesen werden. Abgesehen von der damit verbundenen Verfahrensverzögerung, die nach dem Gesagten nicht ausreicht, ist kein Nachteil erkennbar, der auf diese Weise nicht behoben werden könnte. Eine selbständige Anfechtung des Entscheids über die Verweigerung der Akteneinsicht drängt sich im vorliegenden Fall umso weniger auf, als sich die vom Beschwerdeführer gerügte Verletzung des Akteneinsichtsrechts abschliessend nur zusammen mit einer allfälligen Auslieferungsbewilligung des BAP beurteilen lässt. Vor dem Erlass dieses Entscheids steht nämlich nicht fest, ob das BAP zum Nachteil des Beschwerdeführers auf diesem bis anhin nicht zugänglich gemachte Aktenstücke abstellen will. Aus diesen Gründen erweist sich die Beschwerde als unzulässig.</w:t>
      </w:r>
    </w:p>
    <w:p>
      <w:r>
        <w:rPr>
          <w:b/>
        </w:rPr>
        <w:t>E. 5</w:t>
      </w:r>
    </w:p>
    <w:p>
      <w:r>
        <w:t>Nach dem Gesagten ist auf die Beschwerde nicht einzutreten. 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