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1A.267/2006 vom 13. März 2007</w:t>
      </w:r>
    </w:p>
    <w:p>
      <w:r>
        <w:t>Bundesgericht, 2007-03-13, IT</w:t>
      </w:r>
    </w:p>
    <w:p>
      <w:r>
        <w:rPr>
          <w:b/>
        </w:rPr>
        <w:t xml:space="preserve">Quelle: </w:t>
      </w:r>
      <w:r>
        <w:t>https://mcp.opencaselaw.ch/entscheid/bger_1A.267_2006</w:t>
      </w:r>
    </w:p>
    <w:p>
      <w:r>
        <w:t>FR: TF 1A.267/2006 du 13 mars 2007</w:t>
      </w:r>
    </w:p>
    <w:p>
      <w:r>
        <w:t>IT: TF 1A.267/2006 del 13 marzo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129 I 337 consid. 1.1, 129 II 183 consid. 3.1). Il ricorso di diritto amministrativo è pure ammissibile contro le decisioni cantonali fondate nel medesimo tempo sul diritto federale e sul diritto cantonale, in quanto sia in discussione la violazione di norme di diritto federale direttamente applicabili. Per contro, è il rimedio del ricorso di diritto pubblico a essere dato contro decisioni fondate esclusivamente sul diritto cantonale, che non presentano alcuna connessione con l'applicazione del diritto federale ( DTF 128 I 46 consid. 1b/aa, 128 II 56 consid. 1a/aa, 126 II 171 consid. 1a, 125 II 10 consid. 2a).</w:t>
      </w:r>
    </w:p>
    <w:p>
      <w:r>
        <w:rPr>
          <w:b/>
        </w:rPr>
        <w:t>E. 1.4</w:t>
      </w:r>
    </w:p>
    <w:p>
      <w:r>
        <w:t>La decisione impugnata, che concerne una procedura espropriativa relativa a un intervento di sistemazione di una strada cantonale, è rettamente fondata sul diritto cantonale autonomo, in particolare sull' art. 7 cpv. 3 LEspr /TI che disciplina le conseguenze in caso di rinuncia all'espropriazione, prevedendo la rifusione di un'equa indennità per le spese giustificate avute dagli interessati nella procedura. Il fatto che una normativa analoga è prevista all'art. 14 cpv. 2 della legge federale sulla espropriazione, del 20 giugno 1930 (LEspr; RS 711), alla quale la LEspr/TI si ispira, non è decisivo. La legge federale è infatti applicabile al diritto di espropriazione esercitato dalla Confederazione (o conferito a terzi) per la realizzazione di opere di utilità per la Confederazione (art. 1 segg. LEspr). Il giudizio impugnato rimane quindi fondato esclusivamente sul diritto cantonale anche nella misura in cui la Corte cantonale ha determinato la portata dell' art. 7 LEspr /TI richiamando, peraltro in modo pertinente, la giurisprudenza federale riguardante il corrispondente art. 14 LEspr (cfr. sentenza 1P.51/2005, del 9 agosto 2005, consid. 2.3, parzialmente pubblicata in: RtiD I-2006, n. 25, pag. 101 segg.). Del resto, anche un'applicazione del diritto federale a titolo di diritto cantonale suppletorio - segnatamente allo scopo di completare una regolamentazione cantonale che presentasse lacune, che il diritto federale non imporrebbe comunque di colmare - rientrerebbe ancora nella nozione di diritto cantonale ( DTF 115 Ib 206 consid. 2). In tali circostanze, rilevato che non è in discussione il mancato riconoscimento di un'indennità per espropriazione materiale derivante da una misura pianificatoria secondo l' art. 5 cpv. 2 LPT (cfr. l' art. 34 cpv. 1 LPT , nella versione in vigore fino al 1°gennaio 2007), in concreto è aperta solo la via del ricorso di diritto pubblico. Occorre quindi esaminare se il rimedio esperito dalla ricorrente soddisfi i requisiti posti dalla legge e dalla giurisprudenza.</w:t>
      </w:r>
    </w:p>
    <w:p>
      <w:r>
        <w:rPr>
          <w:b/>
        </w:rPr>
        <w:t>E. 1.5</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la ricorrente nei suoi diritti costituzionali ( DTF 130 I 26 consid. 2.1, 258 consid. 1.3, 129 I 113 consid. 2.1, 127 I 38 consid. 3c). Il gravame in esame non adempie queste esigenze di motivazione, poiché la ricorrente si limita a invocare genericamente la violazione di diritti costituzionali, ma non fa valere un'applicazione arbitraria dell' art. 7 LEspr /TI né si confronta con gli accertamenti contenuti nel giudizio impugnato riguardo alla situazione e alle caratteristiche della sua proprietà, spiegando per quali ragioni essi sarebbero manifestamente insostenibili e in chiaro contrasto con gli atti (cfr. DTF 129 I 8 consid. 2.1 e rinvii). Ove accenna al principio della buona fede, la ricorrente non sostiene d'altra parte che sarebbero adempiute le condizioni cumulative poste dalla giurisprudenza perché possa essere tutelata la fiducia da lei riposta in un'eventuale assicurazione ricevuta dall'autorità (cfr. DTF 129 I 161 consid. 4.1, 127 I 31 consid. 3a). Inoltre, richiamando il diritto di essere sentito e in particolare il mancato esperimento di un sopralluogo da parte della Corte cantonale, la ricorrente disattende che non ha formalmente chiesto l'assunzione di tale prova in quella sede, segnatamente nell'ambito della risposta al gravame presentato dallo Stato. Né essa sostiene che, a meno di incorrere nell'arbitrio, non si potesse rinunciare a un sopralluogo sulla base di un apprezzamento anticipato della sua irrilevanza (cfr. DTF 124 I 208 consid. 4a).</w:t>
      </w:r>
    </w:p>
    <w:p>
      <w:r>
        <w:rPr>
          <w:b/>
        </w:rPr>
        <w:t>E. 2</w:t>
      </w:r>
    </w:p>
    <w:p>
      <w:r>
        <w:t>La tassa di giustizia di fr. 1'000.-- è posta a carico della ricorrente.</w:t>
      </w:r>
    </w:p>
    <w:p>
      <w:r>
        <w:rPr>
          <w:b/>
        </w:rPr>
        <w:t>E. 3</w:t>
      </w:r>
    </w:p>
    <w:p>
      <w:r>
        <w:t>Comunicazione ai patrocinatori della ricorrente, allo Stato del Cantone Ticino e al Tribunale amministrativo del Cantone Ticino.</w:t>
      </w:r>
    </w:p>
    <w:p>
      <w:r>
        <w:t>Losanna, 13 marzo 2007</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