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1A.267/2003 vom 14. Januar 2004</w:t>
      </w:r>
    </w:p>
    <w:p>
      <w:r>
        <w:t>Bundesgericht, 2004-01-14, FR</w:t>
      </w:r>
    </w:p>
    <w:p>
      <w:r>
        <w:rPr>
          <w:b/>
        </w:rPr>
        <w:t xml:space="preserve">Quelle: </w:t>
      </w:r>
      <w:r>
        <w:t>https://mcp.opencaselaw.ch/entscheid/bger_1A.267_2003</w:t>
      </w:r>
    </w:p>
    <w:p>
      <w:r>
        <w:t>FR: TF 1A.267/2003 du 14 janvier 2004</w:t>
      </w:r>
    </w:p>
    <w:p>
      <w:r>
        <w:t>IT: TF 1A.267/2003 del 14 gennaio 2004</w:t>
      </w:r>
    </w:p>
    <w:p>
      <w:pPr>
        <w:pStyle w:val="Heading2"/>
      </w:pPr>
      <w:r>
        <w:t>Regeste</w:t>
      </w:r>
    </w:p>
    <w:p>
      <w:r>
        <w:t>Entraide et extradition</w:t>
      </w:r>
    </w:p>
    <w:p>
      <w:pPr>
        <w:pStyle w:val="Heading2"/>
      </w:pPr>
      <w:r>
        <w:t>Erwägungen</w:t>
      </w:r>
    </w:p>
    <w:p>
      <w:r>
        <w:rPr>
          <w:b/>
        </w:rPr>
        <w:t>E. 1</w:t>
      </w:r>
    </w:p>
    <w:p>
      <w:r>
        <w:t>L'entraide entre la Confédération et la République italienne est régie par la CEEJ, ainsi que par l'accord bilatéral complétant cette Convention, conclu le 10 septembre 1998 et entré en vigueur le 1er juin 2003 (RO 2003 p. 2005; RS 0.351.945.41). Les dispositions de ces traités l'emportent sur le droit autonome qui régit la matière, soit l'EIMP et son ordonnance d'exécution (OEIMP; RS 351.11). Le droit interne est applicable aux questions non réglées, explicitement ou implicitement, par le droit conventionnel, et lorsqu'il est plus favorable à l'entraide ( ATF 123 II 134 consid. 1a p. 136; 122 II 140 consid. 2 p. 142; 120 Ib 120 consid. 1a p. 122/123, 189 consid. 2a p. 191/192, et les arrêts cités). Est réservé le respect des droits fondamentaux ( ATF 123 II 595 consid. 7c p. 617).</w:t>
      </w:r>
    </w:p>
    <w:p>
      <w:r>
        <w:rPr>
          <w:b/>
        </w:rPr>
        <w:t>E. 2.1</w:t>
      </w:r>
    </w:p>
    <w:p>
      <w:r>
        <w:t>La voie du recours de droit administratif est ouverte contre la décision confirmant la transmission de la documentation bancaire à l'Etat requérant et la saisie de comptes bancaires (cf. art. 25 al. 1 EIMP ).</w:t>
      </w:r>
    </w:p>
    <w:p>
      <w:r>
        <w:rPr>
          <w:b/>
        </w:rPr>
        <w:t>E. 2.2</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2.3</w:t>
      </w:r>
    </w:p>
    <w:p>
      <w:r>
        <w:t>Au regard de l' art. 80h let. b EIMP , mis en relation avec l' art. 9a let. a OEIMP , le titulaire est recevable à agir contre la décision confirmant la transmission de la documentation bancaire et la saisie de ses comptes ( ATF 127 II 198 consid. 2d p. 205; 126 II 258 consid. 2d/aa p. 260; 125 II 356 consid. 3b/bb p. 362, et les arrêts cités). Cette qualité est déniée à l'ayant droit économique du compte ( ATF 122 II 130 consid. 2b p. 132/133). Le litige porte sur la transmission de la documentation relative aux comptes n°yyy et zzz, ainsi qu'à la saisie sur ce dernier d'un montant de 3'608'658,42 euros. Le compte n°yyy, ouvert au nom de la société G.________, a été repris le 10 avril 2002 par B.________. Comme titulaire de ce compte et du compte n°zzz, celle-ci a qualité pour agir. Le recours est en revanche irrecevable en tant qu'il est formé par A.________, qui est seulement l'ayant droit de ces deux comptes.</w:t>
      </w:r>
    </w:p>
    <w:p>
      <w:r>
        <w:rPr>
          <w:b/>
        </w:rPr>
        <w:t>E. 3</w:t>
      </w:r>
    </w:p>
    <w:p>
      <w:r>
        <w:t>Selon les recourantes, l'exposé des faits joint à la demande serait insuffisant pour examiner la condition de la double incrimination. Le grief tiré de la double incrimination au sens des art. 5 CEEJ et 64 EIMP, tel qu'il est formulé, n'a pas de portée propre à cet égard.</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ainsi que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et au blocage de fonds,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w:t>
      </w:r>
    </w:p>
    <w:p>
      <w:r>
        <w:rPr>
          <w:b/>
        </w:rPr>
        <w:t>E. 3.2</w:t>
      </w:r>
    </w:p>
    <w:p>
      <w:r>
        <w:t>Du laconique exposé des faits joint à la demande, il ressort qu'un différend a surgi entre C.________ et D.________ à propos du contrôle du club de football X.________. Le premier est soupçonné d'avoir cherché à contraindre le second à lui remettre ses parts dans la société dominant le club. La demande ne précise toutefois pas en quoi ont consisté les pressions et intimidations exercées par C.________ pour amener D.________ à lui verser de l'argent, ni leur époque, ni leurs modalités. Sans doute les documents produits par les recourantes permettent-ils d'éclaircir, dans une certaine mesure, l'arrière-plan de l'affaire. A.________ avait convenu de vendre à D.________ les parts qu'elle détenait dans le capital-actions de la société H.________, qui contrôlait le club de football X.________. Selon A.________, D.________ aurait dénoncé C.________ pour échapper à ses obligations. L'accusation serait ainsi montée de toutes pièces. A cette version s'oppose celle de D.________, qui prétend avoir été amené à céder une partie de ses actions sous la contrainte et la menace de C.________, personnage accusé par ailleurs d'association de malfaiteurs de type mafieux. Hormis cela, la demande (à laquelle n'est jointe ni acte d'accusation, ni rapport d'enquête, ni plainte) ne contient aucun élément propre à mettre en lumière, même de manière minimale, les éléments du comportement délictueux mis à la charge de C.________. En particulier, le lien entre les montants saisis et les faits qui ont donné lieu à la procédure pénale en Italie n'apparaît pas. Cela empêche concrètement le juge de l'entraide de vérifier notamment si la condition de la double incrimination est remplie et le principe de la proportionnalité respecté.</w:t>
      </w:r>
    </w:p>
    <w:p>
      <w:r>
        <w:rPr>
          <w:b/>
        </w:rPr>
        <w:t>E. 3.3</w:t>
      </w:r>
    </w:p>
    <w:p>
      <w:r>
        <w:t>Le recours doit être admis pour ce motif et la décision attaquée annulée. Cela ne signifie pas pour autant que la demande doive être rejetée et l'entraide refusée. En effet, l'autorité d'exécution invite l'Etat requérant à compléter la demande, lorsque le défaut qui entache celle-ci est remédiable (cf. art. 28 al. 6 EIMP ; ATF 114 Ib 254 ; 113 Ib 610 consid. 3b p. 617). Tel est le cas en l'espèce: le Procureur de Nola doit être en mesure de préciser les faits à l'origine de la demande pour rendre celle-ci conforme aux exigences posées à l' art. 14 CEEJ . La cause est renvoyée directement au Juge d'instruction ( art. 114 al. 2 OJ ), afin qu'il prenne les mesures à cet effet, puis statue à nouveau à bref délai. Dans l'intervalle, le séquestre sera maintenu.</w:t>
      </w:r>
    </w:p>
    <w:p>
      <w:r>
        <w:rPr>
          <w:b/>
        </w:rPr>
        <w:t>E. 4</w:t>
      </w:r>
    </w:p>
    <w:p>
      <w:r>
        <w:t>Il est statué sans frais ( art. 156 OJ ). L'Etat de Genève versera aux recourantes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