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1A.259/2004 vom 1. Dezember 2004</w:t>
      </w:r>
    </w:p>
    <w:p>
      <w:r>
        <w:t>Bundesgericht, 2004-12-01, FR</w:t>
      </w:r>
    </w:p>
    <w:p>
      <w:r>
        <w:rPr>
          <w:b/>
        </w:rPr>
        <w:t xml:space="preserve">Quelle: </w:t>
      </w:r>
      <w:r>
        <w:t>https://mcp.opencaselaw.ch/entscheid/bger_1A.259_2004</w:t>
      </w:r>
    </w:p>
    <w:p>
      <w:r>
        <w:t>FR: TF 1A.259/2004 du 1 décembre 2004</w:t>
      </w:r>
    </w:p>
    <w:p>
      <w:r>
        <w:t>IT: TF 1A.259/2004 del 1 dicembre 2004</w:t>
      </w:r>
    </w:p>
    <w:p>
      <w:pPr>
        <w:pStyle w:val="Heading2"/>
      </w:pPr>
      <w:r>
        <w:t>Erwägungen</w:t>
      </w:r>
    </w:p>
    <w:p>
      <w:r>
        <w:rPr>
          <w:b/>
        </w:rPr>
        <w:t>E. 1</w:t>
      </w:r>
    </w:p>
    <w:p>
      <w:r>
        <w:t>La Confédération suisse et la République française sont toutes deux parties à la Convention européenne d'entraide judiciaire en matière pénale (CEEJ; RS 0.351.1), conclue à Strasbourg le 20 avril 1959 et entrée en vigueur le 20 mars 1967 pour la Suisse et le 21 août 1967 pour la France, ainsi que par l'accord bilatéral complétant cette Convention (ci-après: l'Accord complémentaire; RS 0.351.934.92), conclu le 28 octobre 1996 et entré en vigueur le 1er mai 2000. Les dispositions de ces traités l'emportent sur le droit autonome qui régit la matière, soit la loi fédérale sur l'entraide internationale en matière pénale, du 20 mars 1981 (EIMP; RS 351.1) et son ordonnance d'exécution (OEIMP; RS 351.11). Celles-ci restent applicables aux questions non réglées, explicitement ou implicitement, par le droit conventionnel, et lorsque le droit interne est plus favorable à l'entraide que le traité ( ATF 123 II 134 consid. 1a p. 136; 122 II 140 consid. 2 p. 142; 120 Ib 120 consid. 1a p. 122/123, et les arrêts cités).</w:t>
      </w:r>
    </w:p>
    <w:p>
      <w:r>
        <w:rPr>
          <w:b/>
        </w:rPr>
        <w:t>E. 2</w:t>
      </w:r>
    </w:p>
    <w:p>
      <w:r>
        <w:t>La décision attaquée porte sur la présence, au sens de l' art. 65a EIMP , du Juge Y.________ lors de l'exécution de la demande d'entraide. Il s'agit d'une décision incidente qui n'est attaquable, selon l' art. 80e let. b ch. 2 EIMP , que si elle cause au détenteur des documents saisis un préjudice immédiat et irréparable. Contrairement à ce que le libellé du texte légal laisse supposer, l'autorisation accordée à des agents étrangers de participer à l'exécution de la demande ne cause pas, ipso facto, un dommage immédiat et irréparable au sens de l' art. 80e EIMP ( ATF 128 II 211 consid. 2.1 p. 215/216, 353 consid. 3 p. 354). Il faut pour cela que la personne touchée démontre que la mesure qu'elle critique lui cause un tel dommage et en quoi l'annulation de la décision attaquée ne le réparerait pas ( ATF 128 II 211 consid. 2.1 p. 215/216). En l'occurrence, un dommage immédiat et irréparable n'est envisageable que dans le cas visé à l' art. 65a al. 3 EIMP , c'est-à-dire celui où la présence de fonctionnaires étrangers aurait pour conséquence de porter à la connaissance des autorités de l'Etat requérant des faits touchant au domaine secret avant le prononcé d'une décision définitive sur l'octroi et l'étendue de l'entraide.</w:t>
      </w:r>
    </w:p>
    <w:p>
      <w:r>
        <w:t>L' art. 80e let. b ch. 2 EIMP doit être interprété à la lumière de l' art. 65a al. 2 EIMP , à teneur duquel la présence de représentants de l'Etat requérant peut être permise si cela facilite considérablement l'exécution de la demande d'entraide ou la procédure pénale étrangère. Dans l'affirmative, l'art. VII par. 1 de l'Accord complémentaire précise que l'Etat requis consent à cette participation. Il ressort de cette formulation que la marge d'appréciation de l'autorité d'exécution, déjà réduite malgré le caractère potestatif de l' art. 65 al. 2 EIMP , est limitée à l'empêchement de comportements abusifs de la part de l'Etat requérant (arrêt 1A.235/2003 du 8 janvier 2004, consid. 3).</w:t>
      </w:r>
    </w:p>
    <w:p>
      <w:r>
        <w:t>Tel n'est pas le cas en l'espèce. Il est légitime que le Juge Y.________ puisse participer à l'examen de la documentation volumineuse recueillie dans le cadre de l'exécution de la demande, en présence des représentants des recourants. Cette manière de faire simplifiera la tâche de l'autorité d'exécution et permettra aussi aux recourants de faire valoir immédiatement les motifs qui s'opposeraient, selon eux, à une remise simplifiée selon l' art. 80c EIMP . Il leur sera en outre loisible d'exposer leurs arguments à ce propos, avant le prononcé d'une éventuelle décision de clôture (cf. ATF 130 II 14 ).</w:t>
      </w:r>
    </w:p>
    <w:p>
      <w:r>
        <w:t>Comme le prévoit la décision attaquée, l'intervention du Juge Y.________ ne se fera pas sans contrôle, sans surveillance et sans but précis. Le Juge d'instruction genevois conduira l'examen des pièces, lesquelles ne pourront de toute manière être communiquées aux autorités de l'Etat requérant qu'après la clôture de la procédure. Le 4 juin 2004, le Juge Y.________ a pris, au demeurant, un engagement précis en ce sens.</w:t>
      </w:r>
    </w:p>
    <w:p>
      <w:r>
        <w:t>L'argument des recourants selon lequel une partie des pièces saisies ne pourrait être remise à l'Etat requérant, parce qu'allant au-delà de ce qui serait nécessaire à la procédure étrangère, est prématuré en ce sens que cette question ne pourra être tranchée qu'après le tri des pièces auquel l'autorité d'exécution est précisément tenue de faire avant le prononcé de la décision de clôture. Les précautions prises par la Chambre d'accusation et l'engagement précis du Juge Y.________ pallient tout danger à cet égard.</w:t>
      </w:r>
    </w:p>
    <w:p>
      <w:r>
        <w:t>Dans sa réponse du 22 novembre 2004, l'Office fédéral suggère au Tribunal fédéral de réformer la décision attaquée dans un sens défavorable aux recourants - comme il peut le faire - en précisant qu'il serait loisible de laisser, du moins dans un premier temps, au Juge Y.________ la possibilité de prendre connaissance de la documentation saisie hors de la présence de l'autorité d'exécution. Cette question souffre de rester indécise en l'occurrence, dès lors que le Juge d'instruction genevois, dans sa détermination du 22 novembre 2004, n'a pas objecté sur ce point à la décision attaquée.</w:t>
      </w:r>
    </w:p>
    <w:p>
      <w:r>
        <w:rPr>
          <w:b/>
        </w:rPr>
        <w:t>E. 3</w:t>
      </w:r>
    </w:p>
    <w:p>
      <w:r>
        <w:t>Faute de dommage immédiat et irréparable au sens de l' art. 80e let. b ch. 2 EIMP , le recours est irrecevable. Partant, la demande d'effet suspensif a perdu son objet. Les frais sont mis à la charge des recourants ( art. 156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