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1A.258/2005 vom 31. Januar 2006</w:t>
      </w:r>
    </w:p>
    <w:p>
      <w:r>
        <w:t>Bundesgericht, 2006-01-31, FR</w:t>
      </w:r>
    </w:p>
    <w:p>
      <w:r>
        <w:rPr>
          <w:b/>
        </w:rPr>
        <w:t xml:space="preserve">Quelle: </w:t>
      </w:r>
      <w:r>
        <w:t>https://mcp.opencaselaw.ch/entscheid/bger_1A.258_2005</w:t>
      </w:r>
    </w:p>
    <w:p>
      <w:r>
        <w:t>FR: TF 1A.258/2005 du 31 janvier 2006</w:t>
      </w:r>
    </w:p>
    <w:p>
      <w:r>
        <w:t>IT: TF 1A.258/2005 del 31 gennaio 2006</w:t>
      </w:r>
    </w:p>
    <w:p>
      <w:pPr>
        <w:pStyle w:val="Heading2"/>
      </w:pPr>
      <w:r>
        <w:t>Regeste</w:t>
      </w:r>
    </w:p>
    <w:p>
      <w:r>
        <w:t>indemnisation de la perte de gain | Procédure pénale</w:t>
      </w:r>
    </w:p>
    <w:p>
      <w:pPr>
        <w:pStyle w:val="Heading2"/>
      </w:pPr>
      <w:r>
        <w:t>Erwägungen</w:t>
      </w:r>
    </w:p>
    <w:p>
      <w:r>
        <w:rPr>
          <w:b/>
        </w:rPr>
        <w:t>E. 1</w:t>
      </w:r>
    </w:p>
    <w:p>
      <w:r>
        <w:t>La démarche du recourant tend à l'obtention d'une indemnité pour perte de gain fondée sur la LAVI, et il n'est pas contesté que cette loi est applicable. En particulier, le recourant s'est vu reconnaître la qualité de victime au sens de l' art. 2 al. 1 LAVI . Dirigé contre une décision ( art. 5 PA ) ne relevant pas des exceptions prévues aux art. 99 ss OJ ( ATF 122 II 315 consid. 1 p. 317, 121 II 116 consid. 1 p. 117) et émanant de l'autorité cantonale de recours prévue à l' art. 17 LAVI , le recours de droit administratif est recevable ( ATF 125 II 169 consid. 1 p. 171 et les arrêts cités).</w:t>
      </w:r>
    </w:p>
    <w:p>
      <w:r>
        <w:rPr>
          <w:b/>
        </w:rPr>
        <w:t>E. 2</w:t>
      </w:r>
    </w:p>
    <w:p>
      <w:r>
        <w:t>Le recourant reproche à la cour cantonale d'avoir méconnu les principes applicables, selon le droit de la responsabilité civile, à la détermination du préjudice. Il y avait lieu de déterminer ses revenus futurs, sans se limiter au salaire perçu durant l'année ayant précédé l'accident ( art. 22 al. 4 OLAA ). De 1981 à 1989, le recourant a exercé une activité lucrative à plein temps dans le secteur de la construction, puis de la restauration. Depuis fin 1986 et jusqu'en 1989, il a travaillé au sein d'une entreprise, d'abord comme ouvrier puis comme chef d'équipe. Le recourant est retourné en Turquie en 1989, et est revenu en Suisse en 1995, où il a été admis comme réfugié. En 1996, il a travaillé comme traducteur à mi-temps, mais pour une durée déterminée et faute de trouver une emploi à plein temps. C'est donc sur la base d'un emploi à plein temps dans le domaine de la construction qu'il fallait déterminer le revenu probable, ainsi que l'avait fait l'office AI en retenant un revenu annuel de 64'689 fr.</w:t>
      </w:r>
    </w:p>
    <w:p>
      <w:r>
        <w:rPr>
          <w:b/>
        </w:rPr>
        <w:t>E. 2.1</w:t>
      </w:r>
    </w:p>
    <w:p>
      <w:r>
        <w:t>Aux termes des art. 2 al. 1 et 11 al. 1 LAVI, celui qui est victime d'une infraction pénale et subit, de ce fait, une atteinte directe à son intégrité corporelle, sexuelle ou psychique, peut demander une indemnisation ou une réparation morale dans le canton où l'infraction a été commise. L'indemnité, qui n'excède en aucun cas 100'000 fr. ( art. 13 al. 3 LAVI , art. 4 al. 1 de l'ordonnance du 18 novembre 1992 sur l'aide aux victimes d'infractions [OAVI; RS 312.51]), est fixée en fonction du montant du dommage subi et des revenus de la victime ( art. 13 al. 1 LAVI ).</w:t>
      </w:r>
    </w:p>
    <w:p>
      <w:r>
        <w:rPr>
          <w:b/>
        </w:rPr>
        <w:t>E. 2.2</w:t>
      </w:r>
    </w:p>
    <w:p>
      <w:r>
        <w:t>Lorsque le dommage à réparer consiste dans une perte de gain, l'instance d'indemnisation doit commencer par évaluer l'atteinte à l'avenir économique selon les principes de l' art. 46 CO . Il lui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l'assurance-accidents, mais elle n'est pas liée par eux ( ATF 128 II 49 consid. 3.1 p. 52 et les références citées; arrêt 1A.252/2000 du 8 décembre 2000, consid. 2 et 3; Gomm/Stein/Zehnter, Kommentar zum Opferhilfegesetz, Berne 1995, n. 19 (exemple 4) ad art. 13, n. 29 et 30 ad art. 14 LAVI ).</w:t>
      </w:r>
    </w:p>
    <w:p>
      <w:r>
        <w:rPr>
          <w:b/>
        </w:rPr>
        <w:t>E. 2.3</w:t>
      </w:r>
    </w:p>
    <w:p>
      <w:r>
        <w:t>Selon la jurisprudence relative à l' art. 46 al. 1 CO , le dommage consécutif à l'invalidité doit, autant que possible, être établi de manière concrète. Pour déterminer les conséquences pécuniaires de l'incapacité de travail, il faut estimer le gain que le lésé aurait retiré de son activité professionnelle s'il n'avait pas subi l'accident ( ATF 129 III 135 consid. 2.2 p. 141;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 ATF 116 II 295 consid. 3a/aa p. 297). Encore faut-il que le juge dispose pour cela d'un minimum de données concrètes ( ATF 129 III 139 consid. 2.2). Il incombe au demandeur de rendre vraisemblables les circonstances susceptibles d'influer sur l'appréciation de son revenu. Le juge se montrera très prudent s'agissant d'admettre de telles variations salariales, car il y a en général trop d'inconnues et d'impondérables pour permettre une estimation satisfaisante ( ATF 129 III 139 consid. 2.2 p. 141 et les références).</w:t>
      </w:r>
    </w:p>
    <w:p>
      <w:r>
        <w:rPr>
          <w:b/>
        </w:rPr>
        <w:t>E. 2.4</w:t>
      </w:r>
    </w:p>
    <w:p>
      <w:r>
        <w:t>Ces principes s'imposent également à l'instance d'indemnisation LAVI. Celle-ci doit ainsi essayer de déterminer le revenu le plus vraisemblable, sur la base de tous les éléments dont elle dispose (arrêt 1A.169/2001 du 7 février 2002). L'instance judiciaire de recours est elle aussi tenue, en vertu du plein pouvoir d'examen prévu à l' art. 17 LAVI , de prendre en considération l'ensemble des preuves disponibles.</w:t>
      </w:r>
    </w:p>
    <w:p>
      <w:r>
        <w:rPr>
          <w:b/>
        </w:rPr>
        <w:t>E. 2.5</w:t>
      </w:r>
    </w:p>
    <w:p>
      <w:r>
        <w:t>La cour cantonale a considéré que le système de la LAA, qui prend en compte les conséquences directes de l'atteinte sur la capacité de gain de l'assuré, est plus proche de la LAVI que ne l'est celui de l'assurance-invalidité qui retient l'ensemble des causes diminuant l'aptitude au travail. Cela justifierait que l'on retienne, comme revenu probable, la somme arrêtée par la CNA, et non le montant fixé par l'office AI. Le recourant ne critique nullement ces considérations, qui n'apparaissent d'ailleurs pas contraires aux principes de la LAVI, dont le but n'est pas de compenser entièrement les conséquences dommageables de l'infraction ( ATF 125 II 169 consid. 2b p. 173 ss). Par ailleurs, contrairement à ce que soutient le recourant, le service, puis le Tribunal administratif, ne se sont pas simplement fondés sur la détermination du revenu selon la LAA et sur le revenu perçu lors de la dernière activité du recourant, exercée à mi-temps avant l'agression: le service a ainsi calculé la moyenne des revenus obtenus durant la période où le recourant a travaillé en Suisse, à plein temps, de 1983 à 1996, soit un chiffre, de 24'789 fr., très proche de celui arrêté par la CNA, de 25'680 fr. C'est finalement le plus élevé de ces deux montants qui a été retenu. L'évaluation contestée repose ainsi sur des éléments concrets; elle tient compte des revenus effectivement perçus lors du premier séjour du recourant en Suisse, ainsi qu'en 1996, soit durant huit ans. Le recourant ne peut faire valoir aucune circonstance (par exemple au niveau de la formation) qui permettrait d'admettre une augmentation de sa capacité de gain. L'évaluation à laquelle il se livre est bien davantage fondée sur des conjectures que ne l'est celle des autorités intimées. Il n'y a donc aucune violation du droit fédéral sur ce point.</w:t>
      </w:r>
    </w:p>
    <w:p>
      <w:r>
        <w:rPr>
          <w:b/>
        </w:rPr>
        <w:t>E. 3</w:t>
      </w:r>
    </w:p>
    <w:p>
      <w:r>
        <w:t>Le recours de droit administratif doit par conséquent être rejeté. Conformément à l' art. 16 al. 1 LAVI , il est renoncé à la perception de l'émolument judiciaire. Alors qu'il l'avait demandée et obtenue en instance cantonale, le recourant n'a pas requis l'assistance judiciaire pour la présente instance. Il a demandé une "équitable indemnité", mais cette requête ne concerne manifestement que les dépens qui auraient été alloués en cas de succès; elle ne peut être interprétée comme une demande d'assistance judiciaire. Cette dernière ne saurait être accordée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