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1A.258/1999 vom 11. September 2000</w:t>
      </w:r>
    </w:p>
    <w:p>
      <w:r>
        <w:t>Bundesgericht, 2000-09-11, IT</w:t>
      </w:r>
    </w:p>
    <w:p>
      <w:r>
        <w:rPr>
          <w:b/>
        </w:rPr>
        <w:t xml:space="preserve">Quelle: </w:t>
      </w:r>
      <w:r>
        <w:t>https://mcp.opencaselaw.ch/entscheid/bger_1A.258_1999</w:t>
      </w:r>
    </w:p>
    <w:p>
      <w:r>
        <w:t>FR: TF 1A.258/1999 du 11 septembre 2000</w:t>
      </w:r>
    </w:p>
    <w:p>
      <w:r>
        <w:t>IT: TF 1A.258/1999 del 11 settembre 2000</w:t>
      </w:r>
    </w:p>
    <w:p>
      <w:pPr>
        <w:pStyle w:val="Heading2"/>
      </w:pPr>
      <w:r>
        <w:t>Regeste</w:t>
      </w:r>
    </w:p>
    <w:p>
      <w:r>
        <w:t>Assistenza giudiziaria e estradizione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Ne segue che il ricorso, in quanto ammissibile, dev'essere respinto. Le spese seguono la soccombenza ( art. 156 cpv.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