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1A.257/2005 vom 24. Januar 2006</w:t>
      </w:r>
    </w:p>
    <w:p>
      <w:r>
        <w:t>Bundesgericht, 2006-01-24, DE</w:t>
      </w:r>
    </w:p>
    <w:p>
      <w:r>
        <w:rPr>
          <w:b/>
        </w:rPr>
        <w:t xml:space="preserve">Quelle: </w:t>
      </w:r>
      <w:r>
        <w:t>https://mcp.opencaselaw.ch/entscheid/bger_1A.257_2005</w:t>
      </w:r>
    </w:p>
    <w:p>
      <w:r>
        <w:t>FR: TF 1A.257/2005 du 24 janvier 2006</w:t>
      </w:r>
    </w:p>
    <w:p>
      <w:r>
        <w:t>IT: TF 1A.257/2005 del 24 gennaio 2006</w:t>
      </w:r>
    </w:p>
    <w:p>
      <w:pPr>
        <w:pStyle w:val="Heading2"/>
      </w:pPr>
      <w:r>
        <w:t>Regeste</w:t>
      </w:r>
    </w:p>
    <w:p>
      <w:r>
        <w:t>internationale Rechtshilfe in Strafsachen an die Russische Föderation | Rechtshilfe und Auslieferung</w:t>
      </w:r>
    </w:p>
    <w:p>
      <w:pPr>
        <w:pStyle w:val="Heading2"/>
      </w:pPr>
      <w:r>
        <w:t>Erwägungen</w:t>
      </w:r>
    </w:p>
    <w:p>
      <w:r>
        <w:rPr>
          <w:b/>
        </w:rPr>
        <w:t>E. 1</w:t>
      </w:r>
    </w:p>
    <w:p>
      <w:r>
        <w:t>Gegen die Schlussverfügung der Bundesanwaltschaft steht die Verwaltungsgerichtsbeschwerde ans Bundesgericht grundsätzlich offen ( Art. 80g Abs. 1 des Bundesgesetzes vom 20. März 1981 über internationale Rechtshilfe in Strafsachen [IRSG; SR 351.1] ). Zusammen mit der Schlussverfügung können auch die ihr vorangegangenen Zwischenverfügungen angefochten werden. Gleiches muss auch für die nach Erlass der Schlussverfügung erlassenen Verfügungen gelten, die sich auf das Rechtshilfeverfahren beziehen (Abweisung der Gesuche um Aufhebung der Kontensperren und um Akteneinsicht). Die Beschwerdeführerinnen sind als Inhaber der Konten, über die Auskunft erteilt werden soll, persönlich und direkt von der Rechtshilfemassnahme betroffen und daher zur Beschwerde legitimiert ( Art. 80h lit. b IRSG , Art. 9a lit. a der Verordnung vom 24. Februar 1982 über internationale Rechtshilfe in Strafsachen [IRSV; SR 351.11]). Da auch die übrigen Sachurteilsvoraussetzungen vorliegen, ist auf die Verwaltungsgerichtsbeschwerde einzutreten. Für die Rechtshilfe zwischen der Russischen Föderation und der Schweiz sind in erster Linie die Bestimmungen des Europäischen Übereinkommens über die Rechtshilfe in Strafsachen vom 20. April 1959 (EUeR, SR 0.351.1) massgeblich. Anwendbar ist ferner das Übereinkommen vom 8. November 1990 über Geldwäscherei sowie Ermittlung, Beschlagnahme und Einziehung von Erträgen aus Straftaten (GwUe; SR 0.311.53). Soweit das Staatsvertragsrecht bestimmte Fragen nicht abschliessend regelt oder das innerstaatliche Recht geringere Anforderungen an die Gewährung von Rechtshilfe stellt, gelangt das schweizerische Landesrecht zur Anwendung ( Art. 1 Abs. 1 IRSG ; BGE 123 II 134 E. 1a S. 136).</w:t>
      </w:r>
    </w:p>
    <w:p>
      <w:r>
        <w:rPr>
          <w:b/>
        </w:rPr>
        <w:t>E. 2</w:t>
      </w:r>
    </w:p>
    <w:p>
      <w:r>
        <w:t>Vorab ist über das Gesuch der Beschwerdeführerinnen um Einsichtnahme in die Korrespondenz der Bundesanwaltschaft und des Bundesamtes für Justiz mit den russischen Behörden sowie in das Aktenverzeichnis des Rechtshilfeverfahrens zu entscheiden.</w:t>
      </w:r>
    </w:p>
    <w:p>
      <w:r>
        <w:rPr>
          <w:b/>
        </w:rPr>
        <w:t>E. 2.1</w:t>
      </w:r>
    </w:p>
    <w:p>
      <w:r>
        <w:t>Die Bundesanwaltschaft lehnte die ersuchte Akteneinsicht ab, weil es sich um interne Dokumente handle, die für die Wahrung der Interessen der Beschwerdeführerinnen nicht nötig seien. Dies gelte auch für das Aktenverzeichnis, da das Verfahren sehr umfangreich sei und nicht alle im Aktenverzeichnis erfassten Dokumente einen Bezug zu den Beschwerdeführerinnen hätten.</w:t>
      </w:r>
    </w:p>
    <w:p>
      <w:r>
        <w:rPr>
          <w:b/>
        </w:rPr>
        <w:t>E. 2.2</w:t>
      </w:r>
    </w:p>
    <w:p>
      <w:r>
        <w:t>Die Beschwerdeführerinnen machen dagegen geltend, dass sich die ergänzenden Rechtshilfeersuchen der Russischen Föderation jeweils ausdrücklich auf ein Schreiben der Bundesanwaltschaft bzw. des Bundesamtes für Justiz beziehen. Inhalt, Sinn und Zweck der ergänzenden Ersuchen könne daher nur zusammen mit den jeweils vorausgegangenen Schreiben der schweizerischen Behörden richtig erfasst werden. Hinzu komme, dass die Bundesanwaltschaft in ihrer Schlussverfügung selbst auf diese Schreiben verweise und damit zum Ausdruck bringe, dass diese in ihren Entscheid über die Gewährung der Rechtshilfe eingeflossen sind. Auch das Aktenverzeichnis sei kein internes, der blossen Meinungsbildung dienendes Dokument der Bundesanwaltschaft. Die Beschwerdeführerinnen hätten ein evidentes Interesse zu wissen, welche Akten zum Rechtshilfeverfahren gehörten und ob ihre eigenen Akten vollständig seien. Dies sei nur anhand des Aktenverzeichnisses möglich. Die Bundesanwaltschaft habe keine Gründe vorgebracht, die eine Einschränkung des Akteneinsichtsrechts gemäss Art. 80b Abs. 2 und 3 IRSG rechtfertigen würden; solche Gründe seien auch nicht ersichtlich.</w:t>
      </w:r>
    </w:p>
    <w:p>
      <w:r>
        <w:rPr>
          <w:b/>
        </w:rPr>
        <w:t>E. 2.3</w:t>
      </w:r>
    </w:p>
    <w:p>
      <w:r>
        <w:t>Gemäss Art. 80b Abs. 1 IRSG können die Berechtigten am Verfahren teilnehmen und Einsicht in die Akten nehmen, "soweit dies für die Wahrung ihrer Interessen notwendig ist". Das Akteneinsichtsrecht ist somit bereits nach Abs. 1 (unabhängig vom Vorliegen besonderer Geheimhaltungsgründe nach Abs. 2) in dem Sinne beschränkt, dass jeder berechtigten Person nur die sie betreffenden Unterlagen und Beweismittel zur Einsicht vorzulegen sind (Botschaft des Bundesrates vom 29. März 1995 betreffend die Änderung des Rechtshilfegesetzes, BBl 1995 III S. 28). Entscheidend ist dabei, ob die Unterlagen für die Wahrung ihrer Interessen im Rechtshilfeverfahren notwendig sind (Entscheid 1A.109/2000 vom 18. Juli 2000 E. 2a). Grundsätzlich ausgeschlossen ist sodann die Einsicht in verwaltungsinterne Akten, die ausschliesslich der verwaltungsinternen Meinungsbildung dienen ( BGE 125 II 473 E. 4a S. 474).</w:t>
      </w:r>
    </w:p>
    <w:p>
      <w:r>
        <w:rPr>
          <w:b/>
        </w:rPr>
        <w:t>E. 2.3.1</w:t>
      </w:r>
    </w:p>
    <w:p>
      <w:r>
        <w:t>Im vorliegenden Fall begehren die Beschwerdeführerinnen Einsicht in die Schreiben, die von der Bundesanwaltschaft bzw. dem Bundesamt für Justiz an die ersuchende Behörde gerichtet wurden. Es ist offensichtlich, dass es sich dabei nicht um "verwaltungsinterne" Akten handelt, richten sich die Schreiben doch an die Behörde eines fremden Staates und damit an eine externe Stelle.</w:t>
      </w:r>
    </w:p>
    <w:p>
      <w:r>
        <w:rPr>
          <w:b/>
        </w:rPr>
        <w:t>E. 2.3.2</w:t>
      </w:r>
    </w:p>
    <w:p>
      <w:r>
        <w:t>Die Kenntnis dieser Schreiben kann für die vom Rechtshilfeverfahren Betroffenen in mehrfacher Hinsicht von Interesse sein: Zum einen können die darin gestellten Fragen für das Verständnis des jeweiligen Antwortschreibens der ersuchenden Behörde nützlich sein. Zum anderen muss den Betroffenen die Möglichkeit gegeben werden zu prüfen, dass die ersuchte Behörde nicht bereits vor Abschluss des Rechtsmittelverfahrens Informationen oder Beweismittel an den ersuchten Staat übermittelt hat. Hinzu kommt im vorliegenden Fall, dass die Beschwerdeführerinnen die Bundesanwaltschaft verdächtigen, den russischen Behörden jeweils "vorformuliert" zu haben, wie das ergänzende Rechtshilfeersuchen zu lauten habe, um die bereits getroffenen Massnahmen nachträglich zu rechtfertigen. Auch zur Überprüfung dieses Verdachts haben sie Anspruch auf Einsichtnahme in die Korrespondenz, die den Ergänzungsersuchen vorausging.</w:t>
      </w:r>
    </w:p>
    <w:p>
      <w:r>
        <w:rPr>
          <w:b/>
        </w:rPr>
        <w:t>E. 2.3.3</w:t>
      </w:r>
    </w:p>
    <w:p>
      <w:r>
        <w:t>In diesem Zusammenhang erscheint auch das Ersuchen berechtigt, Einsicht in das Aktenverzeichnis zu nehmen: Nur so können die Beschwerdeführerinnen prüfen, ob ihr Akteneinsichtsgesuch vollständig formuliert ist oder ob weitere, ihnen noch nicht bekannte Korrespondenz zwischen der ersuchten und der ersuchenden Behörde vorhanden ist.</w:t>
      </w:r>
    </w:p>
    <w:p>
      <w:r>
        <w:rPr>
          <w:b/>
        </w:rPr>
        <w:t>E. 2.4</w:t>
      </w:r>
    </w:p>
    <w:p>
      <w:r>
        <w:t>Die Bundesanwaltschaft kann die Einsicht in bestimmte Aktenstücke ablehnen oder - z.B. durch Abdeckung einzelner Stellen - beschränken, wenn Geheimhaltungsgründe nach Art. 80b Abs. 2 IRSG vorliegen. Inwiefern dies der Fall ist, braucht im vorliegenden Verfahren nicht geprüft zu werden: Wie im Folgenden darzulegen sein wird, ist die Schlussverfügung ohnehin aufzuheben und die Sache zu neuer Beurteilung an die Bundesanwaltschaft zurückzuweisen. Diese wird den Beschwerdeführerinnen vor ihrem neuen Entscheid die begehrte Akteneinsicht sowie die Möglichkeit zur Stellungnahme zu den eingesehenen Unterlagen gewähren müssen. Sie hat jedoch die Möglichkeit, einzelne Unterlagen oder Passagen von der Akteneinsicht auszunehmen, wenn dies nach Art. 80b Abs. 2 IRSG geboten ist.</w:t>
      </w:r>
    </w:p>
    <w:p>
      <w:r>
        <w:rPr>
          <w:b/>
        </w:rPr>
        <w:t>E. 3</w:t>
      </w:r>
    </w:p>
    <w:p>
      <w:r>
        <w:t>Das Bundesgericht hat am 4. Januar 2006 mehrere mit dem vorliegenden Fall konnexe Verwaltungsgerichtsbeschwerden gutgeheissen, die jeweiligen Schlussverfügungen aufgehoben und die Sache zu neuem Entscheid an die Bundesanwaltschaft zurückgewiesen (1A.215-217/2005). Es ging davon aus, dass das vorliegende Rechtshilfeverfahren mehrere Besonderheiten aufweist: Der Sachverhalt ist äusserst komplex und umfasst zahlreiche Delikte mit einer ungewöhnlich hohen Deliktssumme. Das ursprüngliche Rechtshilfeersuchen wurde durch rund 20 ergänzende Ersuchen und Präzisierungen erweitert, wobei häufig auch Vorwürfe fiskalischer Natur erhoben werden. Schliesslich sind die von der Parlamentarischen Versammlung des Europarats in seiner Resolution 1418(2005) geäusserten Vorbehalte zur Rechtsstaatlichkeit des Strafverfahrens gegen Verantwortliche des Yukos-Konzerns, namentlich Khodorkovski und Lebedev, zu berücksichtigen. Dies alles rechtfertigt es, die in Rechtshilfeverfahren übliche Zurückhaltung bei der Prüfung des Sachverhalts aufzugeben (vgl. im einzelnen E. 3.2-3.4 des Urteils 1A.215/2005). Das Bundesgericht kam zum Ergebnis, dass der im Rechtshilfeersuchen und seinen rund 20 Ergänzungen enthaltene Sachverhalt den Anforderungen von Art. 14 EUeR und Art. 28 IRSG nicht entspricht (vgl. Urteil 1A.215/2005 E. 3.5-3.9). Auf seiner Grundlage kann weder die beidseitige Strafbarkeit, noch der nicht-fiskalische Charakter der verfolgten Delikte noch die potentielle Erheblichkeit der erhobenen Unterlagen für das russische Strafverfahren ausreichend beurteilt werden. Angesichts der zwischenzeitlich rechtskräftigen Verurteilung der beiden Hauptbeschuldigten, Khodorkovski und Lebedev mit Berufungsurteil vom 22. September 2005 erscheint es zudem fraglich, ob und inwiefern noch ein aktuelles Interesse der ersuchenden Behörde am Vollzug der Rechtshilfe besteht, da die Informationen und Unterlagen aus der Schweiz im Verfahren gegen Khodorkovski und Lebedev anscheinend nicht benötigt worden sind (vgl. E. 4 und 4.1 des Urteils 1A.215/2005). Problematisch ist auch, dass die Garantien für ein rechtsstaatliches Strafverfahren zu einem sehr späten Zeitpunkt abgegeben worden sind, als das erstinstanzliche Urteil bereits vorlag (E. 4.2 des Urteils 1A.215/2005). Das Bundesgericht hielt es deshalb für erforderlich, anhand der in Russland ergangenen Strafurteile zu prüfen, welche Strafvorwürfe den Angeklagten noch zur Last gelegt worden sind und inwiefern ein aktuelles Interesse an den verlangten Rechtshilfemassnahmen fortbesteht. Zudem muss geprüft werden, ob die abgegebenen Garantien in allen Phasen des Strafverfahrens, vom Untersuchungsverfahren über das erstinstanzliche Gerichtsverfahren und das Berufungsverfahren bis hin zum Strafvollzug, eingehalten worden sind (E. 4.3 des Urteils 1A.215/2005). Hierfür muss die Bundesanwaltschaft zusätzliche Abklärungen treffen (E. 4.4). Aus den genannten Gründen ist die Schlussverfügung auch im vorliegenden Fall aufzuheben und die Sache zu neuer Beurteilung an die Bundesanwaltschaft zurückzuweisen.</w:t>
      </w:r>
    </w:p>
    <w:p>
      <w:r>
        <w:rPr>
          <w:b/>
        </w:rPr>
        <w:t>E. 4</w:t>
      </w:r>
    </w:p>
    <w:p>
      <w:r>
        <w:t>Der Antrag der Beschwerdeführerinnen geht jedoch weiter: Sie sind der Auffassung, die begehrte Rechtshilfe sei bezüglich ihrer Konten schon heute zu verweigern, weil diese Konten keinen Zusammenhang mit dem russischen Strafverfahren aufweisen.</w:t>
      </w:r>
    </w:p>
    <w:p>
      <w:r>
        <w:rPr>
          <w:b/>
        </w:rPr>
        <w:t>E. 4.1</w:t>
      </w:r>
    </w:p>
    <w:p>
      <w:r>
        <w:t>Wie das Bundesgericht bereits in BGE 130 II 329 E. 5.1 S. 334 f. entschieden hat, setzt die Sperrung von Konten, wie auch die Übermittlung von Kontounterlagen, voraus, dass die betreffenden Konten einen Konnex zum russischen Strafverfahren aufweisen. Bei den Beschwerdeführern handelt es sich um Tochtergesellschaften der Group Menatep Ltd., die vor allem im Telekommunikationsbereich tätig sind. Da sie an den im Rechtshilfeersuchen geschilderten Apatit- und Erdölgeschäften nicht beteiligt waren, können ihre Konten nur für den Vorwurf der Geldwäscherei relevant sein. Dies setzt voraus, dass Anhaltspunkte dafür vorliegen, dass die auf oder über diese Konten transferierten Gelder aus einem Verbrechen herrühren.</w:t>
      </w:r>
    </w:p>
    <w:p>
      <w:r>
        <w:rPr>
          <w:b/>
        </w:rPr>
        <w:t>E. 4.2</w:t>
      </w:r>
    </w:p>
    <w:p>
      <w:r>
        <w:t>In ihrer Schlussverfügung begründet die Bundesanwaltschaft die potentielle Erheblichkeit der Konten der Beschwerdeführerinnen für das russische Strafverfahren wie folgt: Wirtschaftlich Berechtigte der Konten seien die Beschuldigten Khodorkovski, Lebedev, Nevzline, Broudno, Chakhnovski und Goloubovitch. Der überwiegende Anteil der über die Bank E.________-Konten der Beschwerdeführerinnen transferierten Gelder seien direkte Transfers von oder an Group Menatep Ltd. oder aber Quertransfers der Beschwerdeführerinnen untereinander. Auch soweit über die Konten Investitionen in bekannte Gesellschaften des Telekommunikationsbereichs getätigt worden seien, könne dies geldwäschereirechtlich relevant sein: Den Beschuldigten werde im Rechtshilfeersuchen ja gerade zur Last gelegt, über ein von ihnen errichtetes Netz von Gesellschaften die deliktischen Erlöse aus den ihnen zur Last gelegten Straftaten über die schweizerischen Bankkonten dieser Gesellschaften transferiert und anschliessend durch Einschleusung in legale Geschäfte gewaschen zu haben.</w:t>
      </w:r>
    </w:p>
    <w:p>
      <w:r>
        <w:rPr>
          <w:b/>
        </w:rPr>
        <w:t>E. 4.3</w:t>
      </w:r>
    </w:p>
    <w:p>
      <w:r>
        <w:t>Es ist unstreitig, dass es sich bei den Beschwerdeführern um Tochtergesellschaften der Group Menatep Ltd. handelt, und dass ein wesentlicher Teil der auf ihren Konten befindlichen Gelder von der Group Menatep Ltd. stammt. Diese finanziert sich vor allem aus Dividenden von Yukos. Es ist deshalb anzunehmen, dass die von der Muttergesellschaft an die Beschwerdeführerinnen überwiesenen Gelder überwiegend im Erdölgeschäft erwirtschaftet worden sind. Dagegen kann nicht gesagt werden, aus welchen - legalen oder illegalen - Geschäften die Gelder im Einzelnen stammen. Inwiefern Geldwäscherei bei der Vermischung von "sauberen" und "dreckigen" Werten in Betracht kommt, ist in der Literatur umstritten (vgl. Mark Pieth, Basler-Kommentar, Art. 305bis N. 28 mit Hinweisen) und wurde vom Bundesgericht noch nicht entschieden (vgl. Urteil 1A.278/1997 vom 19. Februar 1998 E. 4d/bb, wo die Frage offen gelassen werden konnte). Überwiegend wird eine proportionale Lösung vertreten, mit der Folge, dass eine Vermischung von deliktisch erworbenen mit legalen Guthaben die Strafbarkeit nach Art. 305bis StGB nicht ausschliesst, wenn auch die Abgrenzung im einzelnen streitig ist (Pieth, a.a.O; Jürg-Beat Ackermann, in: Niklaus Schmid (Hrsg.), Einziehung, Organisiertes Verbrechen, Geldwäscherei, Bd. I, Zürich 1998, Art. 305bis, N. 209 und 232; Niklaus Schmid, a.a.O., Art. 59 N. 64; Christine Egger Tanner, die strafrechtliche Erfassung der Geldwäscherei. Ein Rechtsvergleich zwischen der Schweiz und der Bundesrepublik Deutschland, Diss. Zürich 1999, S. 107 ff.). Nach dem Gesagten kann nicht von vornherein ausgeschlossen werden, dass "kontaminierte" Gelder von der Group Menatep Ltd. auf die Konten der Beschwerdeführerinnen geflossen sind, weshalb diese für das Ermittlungsverfahren wegen Geldwäscherei relevant sein könnten.</w:t>
      </w:r>
    </w:p>
    <w:p>
      <w:r>
        <w:rPr>
          <w:b/>
        </w:rPr>
        <w:t>E. 4.4</w:t>
      </w:r>
    </w:p>
    <w:p>
      <w:r>
        <w:t>Zum jetzigen Zeitpunkt kann daher noch nicht hinreichend ausgeschlossen werden, dass Rechtshilfe - auch in Bezug auf die Konten der Beschwerdeführerinnen - geleistet werden kann. Es besteht somit auch kein Grund, die der Schlussverfügung vorangegangenen Zwischenverfügungen sowie die darin angeordneten Kontensperren aufzuheben. Die Beschwerdeführerinnen haben die Möglichkeit, bei der Bundesanwaltschaft die Freigabe der für ihre geschäftlichen Aktivitäten benötigten Beträge zu beantragen. Auch die von den Beschwerdeführerinnen eventualiter beantragte Befristung der Kontensperren auf sechs Monate ist abzulehnen. Die Bundesanwaltschaft wird jedoch die gebotenen Abklärungen unverzüglich vornehmen und rasch entscheiden müssen ( Art. 17a IRSG ). Der Vorwurf der Beschwerdeführerinnen, ihre Konten blieben auf ewig gesperrt, weil in Russland keine Einziehungsverfahren hängig seien und ein Einziehungsurteil somit nie ergehen werde, erscheint unberechtigt: Die ersuchende Behörde hat bisher noch keinerlei Bankunterlagen aus der Schweiz erhalten und konnte daher, in Unkenntnis des Verbleibs allfälliger deliktisch erworbener Erträge, noch keine Einziehungsverfahren anstrengen.</w:t>
      </w:r>
    </w:p>
    <w:p>
      <w:r>
        <w:rPr>
          <w:b/>
        </w:rPr>
        <w:t>E. 5</w:t>
      </w:r>
    </w:p>
    <w:p>
      <w:r>
        <w:t>Nach dem Gesagten ist die Verwaltungsgerichtsbeschwerde gutzuheissen, soweit sie die Akteneinsicht und die Schlussverfügung betrifft. Die Schlussverfügung sowie die Verfügungen, mit denen den Beschwerdeführerinnen die Akteneinsicht verweigert wurde, sind aufzuheben. Die Sache ist zu neuem Entscheid im Sinne der Erwägungen an die Bundesanwaltschaft zurückzuweisen. Im Übrigen ist die Verwaltungsgerichtsbeschwerde abzuweisen. Bei diesem Ausgang des Verfahrens haben die Beschwerdeführerinnen Anspruch auf eine reduzierte Parteientschädigung und es sind keine Kosten zu erheben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