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1A.257/2000 vom 2. Mai 2001</w:t>
      </w:r>
    </w:p>
    <w:p>
      <w:r>
        <w:t>Bundesgericht, 2001-05-02, FR</w:t>
      </w:r>
    </w:p>
    <w:p>
      <w:r>
        <w:rPr>
          <w:b/>
        </w:rPr>
        <w:t xml:space="preserve">Quelle: </w:t>
      </w:r>
      <w:r>
        <w:t>https://mcp.opencaselaw.ch/entscheid/bger_1A.257_2000</w:t>
      </w:r>
    </w:p>
    <w:p>
      <w:r>
        <w:t>FR: TF 1A.257/2000 du 2 mai 2001</w:t>
      </w:r>
    </w:p>
    <w:p>
      <w:r>
        <w:t>IT: TF 1A.257/2000 del 2 maggio 2001</w:t>
      </w:r>
    </w:p>
    <w:p>
      <w:pPr>
        <w:pStyle w:val="Heading2"/>
      </w:pPr>
      <w:r>
        <w:t>Erwägungen</w:t>
      </w:r>
    </w:p>
    <w:p>
      <w:r>
        <w:rPr>
          <w:b/>
        </w:rPr>
        <w:t>E. 1</w:t>
      </w:r>
    </w:p>
    <w:p>
      <w:r>
        <w:t>a) Selon l'art. 34 al. 1 de la loi fédérale sur l'aménagement du territoire (LAT), le recours de droit administratif est recevable contre les décisions concernant des autorisations exceptionnelles de construire en dehors de la zone à bâtir, régies par l' art. 24 LAT . Une telle autorisation doit être obtenue en cas de création ou de transformation d'une construction ou installation au sens de l' art. 22 al. 1 LAT , située dans une zone non affectée à la construction et étrangère à l'affectation de cette zone. Dans le cadre du recours de droit administratif pour violation de l' art. 24 LAT , le Tribunal fédéral examine notamment, à titre préjudiciel, si l'ouvrage en cause constitue ou non une construction ou installation soumise à autorisation ( ATF 119 Ib 222 consid. 1a p. 224, 118 Ib 49 consid. 1a p. 51).</w:t>
      </w:r>
    </w:p>
    <w:p>
      <w:r>
        <w:t>b) La qualité pour recourir appartient notamment aux cantons et aux communes ( art. 34 al. 2 LAT ). Le droit fédéral ne désigne pas l'organe compétent pour décider, au nom de la collectivité concernée, d'entreprendre la procédure du recours de droit administratif; on admet, si la réglementation cantonale ou communale n'en dispose pas autrement, que cette compétence appartient au gouvernement du canton ou à l'organe exécutif de la commune. En l'occurrence, la Commission cantonale valaisanne des constructions est autorisée à agir par une procuration spécifique du Conseil d'Etat; les intimées contestent donc en vain que le canton soit valablement représenté.</w:t>
      </w:r>
    </w:p>
    <w:p>
      <w:r>
        <w:rPr>
          <w:b/>
        </w:rPr>
        <w:t>E. 2</w:t>
      </w:r>
    </w:p>
    <w:p>
      <w:r>
        <w:t>a) Sont considérés comme des constructions ou installations, selon l' art. 22 al. 1 LAT ,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Une autorisation est nécessaire non seulement pour les constructions proprement dites, mais aussi pour les simples modifications du terrain, si elles sont importantes, telles que l'exploitation d'une gravière, l'aménagement d'un terrain de golf ou le remblai d'une place de dépôt. La modification du terrain par nivellement, excavation ou comblement n'est pas seule déterminante pour l'assujettissement à la procédure d'autorisation; celui-ci dépend surtout de l'importance globale du projet, du point de vue de l'aménagement du territoire.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 ATF 119 Ib 222 consid. 3a p. 227; voir aussi ATF 123 II 256 consid. 3 p. 259, 120 Ib 379 consid. 3c p. 383/384). L'assujettissement a ainsi été admis pour un remblai de 75 cm avec 400 m3 de matériaux rapportés (arrêt du 14 août 1992 dans la cause WWF, consid. 3d et 4), ainsi que pour un remblai de 50 cm au bord d'un lac (arrêt du 12 décembre 1979 in ZBl 1980 p. 364, consid. 3a p. 365).</w:t>
      </w:r>
    </w:p>
    <w:p>
      <w:r>
        <w:t>b) L'ensemble des mares et rigoles réalisé par les intimées sera conservé et entretenu aussi longtemps que celles-ci affecteront leur terrain à la pâture extensive, ou n'adopteront pas un autre procédé pour abreuver leur bétail; il s'agit donc d'un aménagement durable.</w:t>
      </w:r>
    </w:p>
    <w:p>
      <w:r>
        <w:t>D'après les croquis millimétrés, les plans d'eau se succèdent sur une longueur de plus de 250 m, de chaque côté de la route cantonale traversant leurs terrains, et le total des surfaces creusées atteint 2'700 m2. Les travaux que les intimées ont effectués entraînent, sans aucun doute, une modification sensible de l'aspect des lieux. Par ailleurs, les surfaces creusées sont elles-mêmes soustraites à la pâture et à toute forme de mise en culture; cette situation n'est admissible que si leur aménagement peut néanmoins être tenu, en raison de leur but, pour conforme à l'affectation de la zone agricole (cf. art. 16a al. 1 LAT ; ATF 125 II 278 consid. 3a p. 280/281, 123 II 499 consid. 3b/cc p. 508, 122 II 160 consid. 3a p. 162). Le projet aurait donc dû être soumis à l'autorité compétente avant l'exécution des travaux, en particulier pour qu'elle se prononce sur cette question. C'est ainsi à tort, en violation du droit fédéral, que la juridiction intimée a dénié à l'aménagement en cause le caractère d'une construction ou installation assujettie à la procédure d'autorisation.</w:t>
      </w:r>
    </w:p>
    <w:p>
      <w:r>
        <w:t>Les intimées font valoir que les arbres fruitiers précédemment cultivés à cet emplacement ont pu être supprimés sans autorisation préalable; il est certes exact que cette opération comportait une modification encore plus importante de l'aspect des lieux, mais elle ne contredisait en aucune façon la vocation agricole du sol. L'intérêt écologique de la création de la zone tampon, y compris la réalisation des mares et rigoles, est certain, mais cet intérêt ne dispense pas les associations intimées de soumettre leurs projets de travaux, comme tout propriétaire, à la procédure légale d'autorisation de construire.</w:t>
      </w:r>
    </w:p>
    <w:p>
      <w:r>
        <w:t>c) Il n'est pas nécessaire d'examiner si, selon le droit cantonal, l'exécution de tels travaux peut intervenir sans autorisation préalable, conformément à l'opinion des précédents juges, car ce droit ne peut pas déroger aux exigences de l' art. 22 al. 1 LAT ( ATF 120 Ib 379 consid. 3c p. 383).</w:t>
      </w:r>
    </w:p>
    <w:p>
      <w:r>
        <w:rPr>
          <w:b/>
        </w:rPr>
        <w:t>E. 3</w:t>
      </w:r>
    </w:p>
    <w:p>
      <w:r>
        <w:t>Dans le cadre du recours de droit administratif, le Tribunal fédéral examine les griefs des parties concernant la procédure cantonale, dans la mesure où les garanties constitutionnelles fédérales telles que la protection contre l'arbitraire ( art. 9 Cst. ) sont en cause (cf. art. 104 let. a OJ ; ATF 125 II 508 consid. 3a p. 509, 123 II 295 consid. 3 p. 298).</w:t>
      </w:r>
    </w:p>
    <w:p>
      <w:r>
        <w:t>En instance cantonale, les intimées ont contesté la compétence de la Commission cantonale des constructions, en soutenant qu'une éventuelle procédure d'autorisation, relative aux travaux qu'elles ont exécutés, ne relèverait pas de cet organe, mais de l'autorité compétente en matière d'amélioration des structures agricoles. Le Tribunal cantonal, dans l'arrêt attaqué, a rejeté ce moyen, que les intimées reprennent dans la présente procédure. Or, il est exact que l'art. 23 de l'ordonnance cantonale sur les constructions, du 2 octobre 1996, réserve diverses procédures spéciales d'autorisation; néanmoins, il n'est pas arbitraire d'admettre que la Commission dispose d'une compétence générale en matière de police des constructions hors de la zone à bâtir, et qu'elle est habilitée à intervenir dans tous les cas de travaux non autorisés (cf. art. 2 al. 1 ch. 2, 49 et ss de la loi cantonale sur les constructions, du 8 février 1996). En effet, cette intervention n'empêche aucunement le maître de l'ouvrage d'introduire sa demande d'autorisation, afin de régulariser les travaux concernés, devant l'autorité normalement compétente.</w:t>
      </w:r>
    </w:p>
    <w:p>
      <w:r>
        <w:rPr>
          <w:b/>
        </w:rPr>
        <w:t>E. 4</w:t>
      </w:r>
    </w:p>
    <w:p>
      <w:r>
        <w:t>Les recours se révèlent fondés et doivent donc être admis. Les associations intimées, agissant en qualité de propriétaires fonciers, doivent acquitter l'émolument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