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1A.252/2002 vom 13. März 2003</w:t>
      </w:r>
    </w:p>
    <w:p>
      <w:r>
        <w:t>Bundesgericht, 2003-03-13, IT</w:t>
      </w:r>
    </w:p>
    <w:p>
      <w:r>
        <w:rPr>
          <w:b/>
        </w:rPr>
        <w:t xml:space="preserve">Quelle: </w:t>
      </w:r>
      <w:r>
        <w:t>https://mcp.opencaselaw.ch/entscheid/bger_1A.252_2002</w:t>
      </w:r>
    </w:p>
    <w:p>
      <w:r>
        <w:t>FR: TF 1A.252/2002 du 13 mars 2003</w:t>
      </w:r>
    </w:p>
    <w:p>
      <w:r>
        <w:t>IT: TF 1A.252/2002 del 13 marzo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Le conclusioni che vanno oltre la richiesta di annullamento della decisione impugnata sono, di massima, ammissibili ( art. 25 cpv. 6 AIMP ; DTF 122 II 373 consid. 1c e rinvii).</w:t>
      </w:r>
    </w:p>
    <w:p>
      <w:r>
        <w:rPr>
          <w:b/>
        </w:rPr>
        <w:t>E. 1.4</w:t>
      </w:r>
    </w:p>
    <w:p>
      <w:r>
        <w:t>Il ricorrente fonda la legittimazione a ricorrere sulle circostanze che è indagato in Italia e che la rogatoria lo concerne.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126 II 258 consid. 2d, 124 II 180 consid. 1b). La circostanza che il ricorrente è inquisito nel procedimento penale estero non è decisiva, ritenuto che l' art. 21 cpv. 3 AIMP prevede le medesime condizioni dell' art. 80h lett. b AIMP ( DTF 126 II 356 consid. 3b/aa-bb, 123 II 161 consid. 1d; FF 1995 III 19). La legittimazione del ricorrente è comunque pacifica, poiché dalla decisione impugnata risulta ch'egli, oltre a essere, tranne in un caso, l'avente diritto economico delle relazioni bancarie, è titolare dei conti oggetto della decisione di chiusura ( DTF 127 II 198 consid. 2d).</w:t>
      </w:r>
    </w:p>
    <w:p>
      <w:r>
        <w:rPr>
          <w:b/>
        </w:rPr>
        <w:t>E. 1.5</w:t>
      </w:r>
    </w:p>
    <w:p>
      <w:r>
        <w:t>La richiesta del ricorrente di decidere il gravame congiuntamente alla decisione concernente la procedura di estradizione è manife-stamente infondata, il Tribunale federale avendo statuito in merito con sentenza del 20 aprile 2001.</w:t>
      </w:r>
    </w:p>
    <w:p>
      <w:r>
        <w:rPr>
          <w:b/>
        </w:rPr>
        <w:t>E. 2</w:t>
      </w:r>
    </w:p>
    <w:p>
      <w:r>
        <w:t>Il ricorrente contesta, in maniera generica, l'adempimento del requisito della doppia punibilità. Sostiene al riguardo che l'ordine di arresto, la richiesta di estradizione e il suo rinvio a giudizio in Italia non concernerebbero traffici di armi e di stupefacenti né riciclaggio di denaro proveniente da tali traffici. Egli rileva che le imputazioni mossegli sono l'associazione per reati di stampo mafioso (art. 416bis CPI) e il contrabbando; per quest'ultima fattispecie l'estradizione e l'assistenza sono state tuttavia rifiutate, mentre egli non sarebbe coinvolto in fatti di armi, droga ed estorsioni. Secondo il ricorrente, il MPC non avrebbe potuto quindi ritenere adempiuto il requisito della doppia punibilità richiamando la legge federale sul materiale bellico (RS 514.51), i reati di riciclaggio ( art. 305bis CP ), di organizzazione criminale ( art. 260ter CP ) e la legge sugli stupefacenti ( art. 19 LStup ).</w:t>
      </w:r>
    </w:p>
    <w:p>
      <w:r>
        <w:rPr>
          <w:b/>
        </w:rPr>
        <w:t>E. 2.1</w:t>
      </w:r>
    </w:p>
    <w:p>
      <w:r>
        <w:t>La censura, come noto al ricorrente, è già stata ritenuta priva di fondamento dal Tribunale federale nelle sentenze del 14 giugno 2001 (cause 1A.326/2000, consid. 2a, e 1A.327/2000, consid. 3). In questa sede egli si limita, in sostanza, a ribadire di non aver commesso personalmente i prospettati reati. La censura non è tuttavia decisiva, come ha già stabilito il Tribunale federale nella sentenza del 20 aprile 2001 - cui, per brevità, si rinvia - con la quale è stato respinto un ricorso di diritto amministrativo presentato dal ricorrente nell'ambito di una richiesta di estradizione formulata dalla Procura di Bari. In quel giudizio l'affermazione - sulla quale è incentrato il presente ricorso - fatta durante l'interrogatorio del 26 luglio 2000 a Zurigo dal dott. Giuseppe Scelsi della Procura di Bari, secondo cui non sarebbero addebitati al ricorrente episodi di armi, droga ed estorsioni, svolti dai gruppi criminali, nei quali egli avrebbe svolto funzioni di promotore, organizzatore e dirigente, non è stata ritenuta decisiva; il ricorrente non è infatti ricercato per aver commesso personalmente tali reati, ma per aver partecipato, essendo inserito con precisione di compiti nella struttura dirigenziale, all'associazione criminale che li avrebbe compiuti, ciò che è sufficiente dal profilo dell' art. 260ter CP . È stato pertanto ritenuto che, riguardo a questa norma, il requisito della doppia punibilità è adempiuto. Ora, l'assistenza dev'essere concessa quando sia richiesta per la repressione di più reati e uno di essi sia punibile secondo il diritto svizzero ( DTF 124 II 184 consid. 4b/cc e rinvii, 110 Ib 173 consid. 5b in fine). In quanto il ricorrente intenda contestare la propria colpevolezza, il quesito sfuggirebbe alla competenza del Giudice dell'assistenza ( DTF 113 Ib 276 consid. 3a, 112 Ib 576 consid. 3). Per di più, l'assunto della sua estraneità ai sospettati reati, come si è visto, non regge.</w:t>
      </w:r>
    </w:p>
    <w:p>
      <w:r>
        <w:rPr>
          <w:b/>
        </w:rPr>
        <w:t>E. 2.2</w:t>
      </w:r>
    </w:p>
    <w:p>
      <w:r>
        <w:t>Il ricorrente rileva inoltre un asserito, repentino cambiamento della strategia accusatoria del dott. Scelsi, che in occasione dell'udienza del 6 dicembre 2002 davanti al Giudice per le udienze preliminari del Tribunale di Bari non gli avrebbe rimproverato di aver protetto dei latitanti, ma di aver cercato, in collaborazione con apparati dello Stato italiano, di farli arrestare. Spetterà tuttavia al Giudice estero del merito esaminare se l'Accusa potrà esibire o no le prove dell'asserito reato ( DTF 122 II 367 consid. 2c), non emergendo, né il ricorrente lo sostiene, elementi atti a far ritenere la rogatoria addirittura abusiva (cfr. DTF 122 II 134 consid. 7b, 121 II 241 consid. 3a).</w:t>
      </w:r>
    </w:p>
    <w:p>
      <w:r>
        <w:rPr>
          <w:b/>
        </w:rPr>
        <w:t>E. 2.3</w:t>
      </w:r>
    </w:p>
    <w:p>
      <w:r>
        <w:t>L'accenno ricorsuale non dimostra peraltro che la richiesta italiana sarebbe divenuta priva di oggetto: trattandosi di materiale probatorio, la giurisprudenza considera divenuta senza oggetto una domanda straniera solo quando lo Stato richiedente la ritiri espressamente o se il processo all'estero si sia nel frattempo concluso con un giudizio definitivo ( DTF 113 Ib 157 consid. 5a pag. 166). Nessuna di queste fattispecie è qui realizzata. Non v'è inoltre motivo di ritenere che lo Stato estero mantenga la domanda qualora la stessa sia divenuta priva di interesse.</w:t>
      </w:r>
    </w:p>
    <w:p>
      <w:r>
        <w:rPr>
          <w:b/>
        </w:rPr>
        <w:t>E. 2.4</w:t>
      </w:r>
    </w:p>
    <w:p>
      <w:r>
        <w:t>La rogatoria concerne del resto anche altre persone. L'assistenza dev'essere accordata infatti non soltanto per raccogliere ulteriori prove a carico del presunto autore, ma anche per acclarare se i reati fondatamente sospettati siano effettivamente stati commessi ( DTF 118 Ib 547 consid. 3a pag. 552).</w:t>
      </w:r>
    </w:p>
    <w:p>
      <w:r>
        <w:rPr>
          <w:b/>
        </w:rPr>
        <w:t>E. 2.5</w:t>
      </w:r>
    </w:p>
    <w:p>
      <w:r>
        <w:t>Il gravame dev'essere inoltre respinto perché il ricorrente non ha indicato del tutto quali singoli documenti sarebbero sicuramente irrilevanti per il procedimento penale estero e nemmeno ha spiegato in maniera precisa, sempre per ogni singolo documento, perché un determinato atto non dovrebbe essere trasmesso ( DTF 126 II 258 consid. 9c in fine, 122 II 367 consid. 2d pag. 371 seg.).</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