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1A.251/2005 vom 25. Oktober 2005</w:t>
      </w:r>
    </w:p>
    <w:p>
      <w:r>
        <w:t>Bundesgericht, 2005-10-25, FR</w:t>
      </w:r>
    </w:p>
    <w:p>
      <w:r>
        <w:rPr>
          <w:b/>
        </w:rPr>
        <w:t xml:space="preserve">Quelle: </w:t>
      </w:r>
      <w:r>
        <w:t>https://mcp.opencaselaw.ch/entscheid/bger_1A.251_2005</w:t>
      </w:r>
    </w:p>
    <w:p>
      <w:r>
        <w:t>FR: TF 1A.251/2005 du 25 octobre 2005</w:t>
      </w:r>
    </w:p>
    <w:p>
      <w:r>
        <w:t>IT: TF 1A.251/2005 del 25 ottobre 2005</w:t>
      </w:r>
    </w:p>
    <w:p>
      <w:pPr>
        <w:pStyle w:val="Heading2"/>
      </w:pPr>
      <w:r>
        <w:t>Regeste</w:t>
      </w:r>
    </w:p>
    <w:p>
      <w:r>
        <w:t>aménagement d'un station-service en zone agricole | Aménagement du territoire et droit public des constructions</w:t>
      </w:r>
    </w:p>
    <w:p>
      <w:pPr>
        <w:pStyle w:val="Heading2"/>
      </w:pPr>
      <w:r>
        <w:t>Erwägungen</w:t>
      </w:r>
    </w:p>
    <w:p>
      <w:r>
        <w:rPr>
          <w:b/>
        </w:rPr>
        <w:t>E. 1</w:t>
      </w:r>
    </w:p>
    <w:p>
      <w:r>
        <w:t>En vertu de l' art. 34 al. 1 LAT , la voie du recours de droit administratif est ouverte contre les décisions prises par l'autorité cantonale de dernière instance à propos de la reconnaissance de la conformité à l'affectation de la zone de constructions et d'installations sises hors de la zone à bâtir et sur des demandes de dérogation selon les art. 24 à 24d LAT; il en va de même des décisions qui confirment la démolition d'une construction réalisée sans autorisation, alors qu'une dérogation selon l' art. 24 LAT aurait été requise, qu'elles se fondent directement sur cette disposition (cf. ATF 129 II 321 consid. 1.1 p. 324) ou sur une norme du droit cantonal (cf. ATF 118 Ib 234 consid. 1b p. 237). En tant que requérant débouté de l'autorisation de construire et destinataire de l'ordre de remise en état, le recourant a qualité pour recourir en application de l' art. 103 let. a OJ ( ATF 129 II 321 consid. 1.1 p. 324). Les autres conditions de recevabilité du recours de droit administratif sont au surplus réalisées, de sorte qu'il y a lieu d'entrer en matière sur le fond.</w:t>
      </w:r>
    </w:p>
    <w:p>
      <w:r>
        <w:rPr>
          <w:b/>
        </w:rPr>
        <w:t>E. 2</w:t>
      </w:r>
    </w:p>
    <w:p>
      <w:r>
        <w:t>Le recourant reproche au Tribunal administratif d'avoir statué sans avoir procédé à une inspection locale. Cette mesure d'instruction lui aurait permis de constater que l'aménagement d'un garage automobile avec places de lavage et d'un parking s'inscrivait parfaitement dans le contexte de l'endroit.</w:t>
      </w:r>
    </w:p>
    <w:p>
      <w:r>
        <w:rPr>
          <w:b/>
        </w:rPr>
        <w:t>E. 2.1</w:t>
      </w:r>
    </w:p>
    <w:p>
      <w:r>
        <w:t>Selon la jurisprudence, le droit d'être entendu garanti à l' art. 29 al. 2 Cst.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Ce refus d'instruire ne viole le droit d'être entendu des parties que si l'appréciation anticipée de la pertinence du moyen de preuve offert, à laquelle le juge a ainsi procédé, est entachée d'arbitraire ( ATF 130 II 425 consid. 2.1 p. 428; 125 I 127 consid. 6c/cc in fine p. 135, 417 consid. 7b p. 430). Ces principes s'appliquent également à la tenue d'une inspection locale, en l'absence d'une disposition cantonale qui imposerait une telle mesure d'instruction ( ATF 120 Ib 224 consid. 2b p. 229; 112 Ia 198 consid. 2b p. 202).</w:t>
      </w:r>
    </w:p>
    <w:p>
      <w:r>
        <w:rPr>
          <w:b/>
        </w:rPr>
        <w:t>E. 2.2</w:t>
      </w:r>
    </w:p>
    <w:p>
      <w:r>
        <w:t>En l'occurrence, l'état des lieux ressort de manière suffisante du dossier et, en particulier, de la lettre que le recourant a adressée le 30 mars 2004 au Département et qui décrit, photos à l'appui, l'état parcellaire, les constructions existantes et les surfaces d'assolement. Une inspection locale n'était donc pas nécessaire pour statuer sur le recours formé par A.________ contre le refus opposé à sa requête en autorisation de construire. Par ailleurs, la cour cantonale disposait d'un dossier photographique des travaux entrepris sans autorisation sur la parcelle n° 5090 établi par le Département qui lui permettait de statuer en toute connaissance de cause sur le recours interjeté contre l'ordre d'évacuation et de remise en état des lieux. Elle n'a donc pas fait preuve d'arbitraire en admettant que la tenue d'une audience sur place était superflue. Pour les mêmes raisons, une inspection locale dans le cadre de la présente procédure ne se justifie pas.</w:t>
      </w:r>
    </w:p>
    <w:p>
      <w:r>
        <w:rPr>
          <w:b/>
        </w:rPr>
        <w:t>E. 3</w:t>
      </w:r>
    </w:p>
    <w:p>
      <w:r>
        <w:t>Le recourant conteste tout d'abord le refus de lui octroyer l'autorisation de construire sollicitée. Or, la parcelle n° 5090 est sise en zone agricole et aucun élément au dossier ne permet de retenir qu'elle ne se prêterait pas à une utilisation conforme à sa destination. Son insertion dans les surfaces d'assolement imposait son classement en zone agricole en vertu de l' art. 30 al. 1 OAT . Le recourant critique ainsi en vain l'affectation de sa parcelle en zone agricole. De même, il ne peut se prévaloir d'un droit acquis à l'octroi d'une autorisation de construire qui résulterait de l'acte de vente passé en août 2003 avec le précédent propriétaire. La mention inscrite au registre foncier le 11 août 1966 suivant laquelle "la parcelle servira entièrement ou pour une partie importante à l'exploitation d'une station-service par la station BP" a été radiée; en outre, le recourant n'envisage nullement d'ériger une station-service, mais un garage automobile, des places de lavage et un parking. Pour le surplus, A.________ ne conteste pas que ces installations ne sont pas conformes à la destination de la zone agricole dans laquelle elles s'implanteraient et qu'elles nécessiteraient de ce fait une autorisation exceptionnelle au sens de l' art. 24 LAT (cf. arrêt 1A.247/1997 du 15 janvier 1998 consid. 2 paru à la RDAF 1998 I 160). Les ouvrages projetés ne sont nullement imposés par leur destination en dehors de la zone à bâtir, de sorte qu'une autorisation dérogatoire fondée sur l' art. 24 LAT n'est pas envisageable. Enfin, le recourant se réfèrent en vain aux autres installations non conformes à la zone réalisées sur les parcelles avoisinantes, le long de la route de Thonon. Il n'est en effet nullement établi que ces installations auraient été réalisées de manière illégale. Au demeurant, à supposer que tel soit le cas, le recourant ne pourrait de toute manière rien en tirer en sa faveur, car le principe de la légalité prévaut sur celui de l'égalité de traitement (cf. ATF 125 II 152 consid. 5 p. 166). La cour cantonale n'a donc pas violé le droit fédéral en refusant de délivrer l'autorisation de construire sollicitée.</w:t>
      </w:r>
    </w:p>
    <w:p>
      <w:r>
        <w:rPr>
          <w:b/>
        </w:rPr>
        <w:t>E. 4</w:t>
      </w:r>
    </w:p>
    <w:p>
      <w:r>
        <w:t>Le recourant s'en prend également à l'ordre de remise en état des lieux qui lui a été signifié.</w:t>
      </w:r>
    </w:p>
    <w:p>
      <w:r>
        <w:rPr>
          <w:b/>
        </w:rPr>
        <w:t>E. 4.1</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4.2</w:t>
      </w:r>
    </w:p>
    <w:p>
      <w:r>
        <w:t>Le recourant ne saurait se prévaloir de sa bonne foi. Il n'ignorait en effet pas que la parcelle n° 5090 était classée en zone agricole. Il a par ailleurs poursuivi les travaux d'aménagement malgré les ordres d'interruption immédiate que l'inspecteur de la police cantonale des constructions, puis le Département lui ont signifié. Les règles relatives à la délimitation de la zone à bâtir, respectivement à la prohibition de construire hors des zones à bâtir, répondent à une préoccupation centrale de l'aménagement du territoire; l'intérêt public sur lequel elles sont fondées ne peut qu'être qualifié d'important (cf. ATF 115 Ib 148 consid. 5c p. 151). Il l'emporte sur l'intérêt privé purement financier du recourant à s'opposer au rétablissement d'une situation conforme au droit. Ce dernier ne prétend d'ailleurs pas que les frais de remise en état seraient excessifs et feraient obstacle à une telle mesure. Enfin, si la Commune d'Anières envisageait de créer une zone artisanale le long de la route de Thonon incluant la parcelle du recourant dans son projet de plan directeur communal, cette proposition n'a pas reçu l'aval de la Commission d'urbanisme et de la Commission des monuments, de la nature et des sites dans la mesure où elle allait à l'encontre du plan directeur cantonal. Les perspectives que la parcelle litigieuse puisse être légalement affectée à court ou moyen terme en zone artisanale ne sont donc en l'état pas établies à satisfaction de droit et n'avaient pas à être prises en considération dans l'application du principe de proportionnalité. Le recours est donc également mal fondé en tant qu'il porte sur l'ordre de remise en état des lieux.</w:t>
      </w:r>
    </w:p>
    <w:p>
      <w:r>
        <w:rPr>
          <w:b/>
        </w:rPr>
        <w:t>E. 5</w:t>
      </w:r>
    </w:p>
    <w:p>
      <w:r>
        <w:t>Le recourant conclut enfin à l'annulation de la décision du Département du 4 novembre 2003, qui lui inflige une amende administrative de 10'000 fr. Comme le relève à juste titre la cour cantonale, A.________ a non seulement entrepris sans droit des travaux d'aménagement de la parcelle n° 5090, mais il les a poursuivis en dépit de deux ordres d'arrêt de chantier. Il ne fait valoir aucun élément susceptible d'expliquer son comportement. Le montant de l'amende n'est pas arbitraire au regard de la faute commise et du maximum admis, fixé à 60'000 fr. (cf. art. 137 al. 1 de la loi genevoise sur les constructions et les installations diverses). Sur ce point également, l'arrêt attaqué échappe à toute critique.</w:t>
      </w:r>
    </w:p>
    <w:p>
      <w:r>
        <w:rPr>
          <w:b/>
        </w:rPr>
        <w:t>E. 6</w:t>
      </w:r>
    </w:p>
    <w:p>
      <w:r>
        <w:t>Le recours doit par conséquent être rejeté, ce qui rend sans objet la demande d'effet suspensif. Les frais du présent arrêt doivent être mis à la charge du recourant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