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1A.248/2006 vom 1. Februar 2007</w:t>
      </w:r>
    </w:p>
    <w:p>
      <w:r>
        <w:t>Bundesgericht, 2007-02-01, FR</w:t>
      </w:r>
    </w:p>
    <w:p>
      <w:r>
        <w:rPr>
          <w:b/>
        </w:rPr>
        <w:t xml:space="preserve">Quelle: </w:t>
      </w:r>
      <w:r>
        <w:t>https://mcp.opencaselaw.ch/entscheid/bger_1A.248_2006</w:t>
      </w:r>
    </w:p>
    <w:p>
      <w:r>
        <w:t>FR: TF 1A.248/2006 du 1 février 2007</w:t>
      </w:r>
    </w:p>
    <w:p>
      <w:r>
        <w:t>IT: TF 1A.248/2006 del 1 febbraio 2007</w:t>
      </w:r>
    </w:p>
    <w:p>
      <w:pPr>
        <w:pStyle w:val="Heading2"/>
      </w:pPr>
      <w:r>
        <w:t>Erwägungen</w:t>
      </w:r>
    </w:p>
    <w:p>
      <w:r>
        <w:rPr>
          <w:b/>
        </w:rPr>
        <w:t>E. 1</w:t>
      </w:r>
    </w:p>
    <w:p>
      <w:r>
        <w:t>Conformément à l' art. 132 al. 1 LTF , les procédures de recours contre des décisions rendues avant l'entrée en vigueur de la nouvelle réglementation sont soumises à l'ancien droit.</w:t>
      </w:r>
    </w:p>
    <w:p>
      <w:r>
        <w:rPr>
          <w:b/>
        </w:rPr>
        <w:t>E. 1.1</w:t>
      </w:r>
    </w:p>
    <w:p>
      <w:r>
        <w:t>L'entraide judiciaire entre les Antilles Néerlandaises et la Suisse est régie par la Convention européenne d'entraide judiciaire (CEEJ; RS 0.351.1). La loi fédérale sur l'entraide internationale en matière pénale (EIMP; RS 351.1) et son ordonnance d'exécution (OEIMP; RS 351.11) demeurent réservées pour des questions qui ne sont pas réglées par le traité ( ATF 124 II 124 consid. 1a p. 126), et dans la mesure où elles permettent de faciliter la coopération internationale ( ATF 129 II 462 consid. 1.1 p. 464).</w:t>
      </w:r>
    </w:p>
    <w:p>
      <w:r>
        <w:rPr>
          <w:b/>
        </w:rPr>
        <w:t>E. 1.2</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w:t>
      </w:r>
    </w:p>
    <w:p>
      <w:r>
        <w:rPr>
          <w:b/>
        </w:rPr>
        <w:t>E. 1.3</w:t>
      </w:r>
    </w:p>
    <w:p>
      <w:r>
        <w:t>La recourante a qualité pour agir en tant que détentrice du compte bancaire dont le Juge d'instruction a décidé de transmettre une partie de la documentation ( art. 80h let. b EIMP et 9a let. a OEIMP). Elle a également qualité pour s'opposer à la transmission de pièces provenant d'une procédure pénale à laquelle elle est partie, et qui porte sur les mêmes faits que ceux qui sont poursuivis dans l'Etat requérant ( ATF 121 II 38 ).</w:t>
      </w:r>
    </w:p>
    <w:p>
      <w:r>
        <w:rPr>
          <w:b/>
        </w:rPr>
        <w:t>E. 1.4</w:t>
      </w:r>
    </w:p>
    <w:p>
      <w:r>
        <w:t>La cour cantonale a constaté que l'acte de recours était signé par un avocat stagiaire, ce qui semblait être un motif d'irrecevabilité; elle a toutefois laissé la question indécise, vu l'issue de la cause. Le dispositif de l'arrêt attaqué fait clairement ressortir que ce motif d'irrecevabilité n'a pas été retenu, même à titre subsidiaire. On ne saurait par conséquent reprocher à la recourante de ne pas critiquer l'arrêt attaqué sur ce point.</w:t>
      </w:r>
    </w:p>
    <w:p>
      <w:r>
        <w:rPr>
          <w:b/>
        </w:rPr>
        <w:t>E. 2</w:t>
      </w:r>
    </w:p>
    <w:p>
      <w:r>
        <w:t>La recourante persiste à considérer que l'absence de traduction de la demande d'entraide constituerait une violation des art. 16 al. 2 CEEJ et 28 al. 5 EIMP. L'autorité requérante devrait être invitée à remédier à ce vice dans un délai déterminé, conformément à l' art. 28 al. 6 EIMP .</w:t>
      </w:r>
    </w:p>
    <w:p>
      <w:r>
        <w:rPr>
          <w:b/>
        </w:rPr>
        <w:t>E. 2.1</w:t>
      </w:r>
    </w:p>
    <w:p>
      <w:r>
        <w:t>Selon l' art. 28 al. 5 EIMP , les demandes et leurs annexes doivent être présentées dans l'une des trois langues officielles de la Suisse, ou accompagnées d'une traduction dans une de ces trois langues. Les traductions doivent être certifiées conformes. Selon l' art. 28 al. 4 EIMP , les documents officiels étrangers ne sont pas soumis à légalisation. En vertu de l' art. 28 al. 6 EIMP , l'autorité compétente peut exiger qu'une demande irrégulière en la forme soit modifiée ou complétée. L' art. 16 al. 2 CEEJ permet aux Etats parties d'exiger une traduction dans leur propre langue. La Suisse a fait usage de cette faculté dans sa déclaration, sans toutefois préciser que les traductions doivent être certifiées conformes.</w:t>
      </w:r>
    </w:p>
    <w:p>
      <w:r>
        <w:rPr>
          <w:b/>
        </w:rPr>
        <w:t>E. 2.2</w:t>
      </w:r>
    </w:p>
    <w:p>
      <w:r>
        <w:t>L'exigence d'une traduction officielle vise non seulement à mettre l'autorité en situation de statuer sur la demande en connaissance de cause, mais aussi et surtout à protéger les droits de la personne soumise à une mesure de contrainte en application de la demande, qui doit pouvoir être en mesure d'en saisir exactement les tenants et les aboutissants, ainsi que la portée (arrêt 1A.102/1998 du 27 juillet 1998). Selon la jurisprudence, la coopération n'est ainsi refusée que si l'absence de traduction empêche l'autorité de traiter correctement la demande, porte atteinte aux droits de la personne poursuivie ou participe d'un comportement abusif de la part de l'Etat requérant (arrêt 1A.56/2000 du 17 avril 2000).</w:t>
      </w:r>
    </w:p>
    <w:p>
      <w:r>
        <w:rPr>
          <w:b/>
        </w:rPr>
        <w:t>E. 2.3</w:t>
      </w:r>
    </w:p>
    <w:p>
      <w:r>
        <w:t>La demande d'entraide a été remise directement au Juge d'instruction, contrairement à ce que prévoient les art. 17 al. 2 et 77 al. 1 EIMP. Cela n'a pas permis à l'OFJ d'intervenir immédiatement, dans le cadre de l'examen sommaire prévu à l' art. 78 al. 2 EIMP , et d'exiger directement une traduction conformément à l' art. 78 al. 3 EIMP . Celle-ci n'a été requise que par la suite et n'a toujours pas été fournie par l'autorité requérante.</w:t>
      </w:r>
    </w:p>
    <w:p>
      <w:r>
        <w:t>Il n'y a toutefois pas lieu d'y voir, comme le voudraient la recourante et l'OFJ, un motif d'annulation de la décision attaquée, ni même de suspension de la procédure. En effet, la demande présentée par le Procureur de Curaçao se compose de deux pages et demie. Tant les faits décrits que les investigations requises sont aisément compréhensibles, et on peut admettre que tant les fonctionnaires de l'OFJ, l'autorité cantonale d'exécution, la cour cantonale et le mandataire de la recourante ont une connaissance au moins passive de l'anglais (Zimmermann, La coopération judiciaire internationale en matière pénale, Berne 2004 p. 166). Aucune des parties à la procédure ne prétend d'ailleurs avoir compris le sens et la portée de l'entraide requise différemment de ce que ne l'ont fait le Juge d'instruction, puis la cour cantonale. Ainsi, dans la mesure où la demande a pu être exécutée et où la recourante ne s'est pas trouvée entravée dans ses droits de défense, l'annulation de la décision de clôture pour ce seul motif - de même que la suspension de la procédure - n'apparaît pas justifiée par un intérêt prépondérant digne de protection. L'annulation voulue par la recourante et la suspension préconisée par l'OFJ porteraient au contraire une atteinte injustifiée au principe de célérité consacré à l' art. 17a EIMP . La recourante et l'OFJ relèvent que la déclaration faite par la Suisse à propos de l'exigence d'une traduction est claire et ne souffre aucune interprétation. Il n'en demeure pas moins que l' art. 28 al. 6 EIMP est une norme potestative et que, compte tenu des particularités de la cause, la cour cantonale n'a pas violé le droit fédéral en renonçant à en faire usage.</w:t>
      </w:r>
    </w:p>
    <w:p>
      <w:r>
        <w:rPr>
          <w:b/>
        </w:rPr>
        <w:t>E. 3</w:t>
      </w:r>
    </w:p>
    <w:p>
      <w:r>
        <w:t>La recourante invoque ensuite le principe de la proportionnalité. L'autorité requérante posait cinq questions précises et demandait la production de pièces déterminées concernant la société et son compte. La production des actes de la procédure pénale n'était pas requise et n'apporterait rien à l'enquête étrangère.</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w:t>
      </w:r>
    </w:p>
    <w:p>
      <w:r>
        <w:rPr>
          <w:b/>
        </w:rPr>
        <w:t>E. 3.2</w:t>
      </w:r>
    </w:p>
    <w:p>
      <w:r>
        <w:t>Contrairement à ce que soutient la recourante, rien n'interdit par principe à l'autorité d'exécution de verser au dossier de l'entraide judiciaire les pièces d'une procédure pénale, que celle-ci soit ou non en rapport avec les faits mentionnés par l'autorité étrangère. Pour autant que cette production corresponde à l'entraide requise, que le droit d'être entendu des ayants droit soit respecté et qu'un tri soit effectué conformément aux règles applicables à l'entraide judiciaire, cette manière de faire n'est en rien contraire au droit fédéral: elle ne porte atteinte ni aux droits de la défense dans la procédure pénale, ni au droit d'intervention dans la procédure d'entraide. Il convient toutefois, pour respecter notamment le secret de l'instruction et préserver les intérêts de tiers dont l'identité figure au dossier pénal, d'éviter de remettre à l'Etat requérant de trop larges extraits de la procédure, qui pourraient équivaloir à un droit général de consultation reconnu à l'Etat étranger (cf. ATF 127 II 198 ).</w:t>
      </w:r>
    </w:p>
    <w:p>
      <w:r>
        <w:rPr>
          <w:b/>
        </w:rPr>
        <w:t>E. 3.3</w:t>
      </w:r>
    </w:p>
    <w:p>
      <w:r>
        <w:t>Selon la demande d'entraide, l'autorité requérante désire savoir s'il existe une procédure civile ou pénale en rapport avec les transferts en faveur de la la banque Y.________; dans l'affirmative elle désire connaître l'autorité chargée de mener l'enquête, les raisons du blocage du compte et savoir si cette mesure a été maintenue et, le cas échéant, pour quelle période. L'autorité requérante veut aussi obtenir les documents relatifs à la société recourante, sa direction et ses ayants droit, ainsi que la documentation bancaire (documents d'ouverture et pièces relatives aux transferts en provenance de la banque de Madère).</w:t>
      </w:r>
    </w:p>
    <w:p>
      <w:r>
        <w:t>Les pièces de la procédure pénale dont le juge d'instruction a ordonné la transmission répondent aux interrogations du Procureur requérant. La plainte de la banque X.________, qui requiert également le blocage des fonds, permet de connaître l'auteur et les motifs de la demande de séquestre. La déclaration du 20 juillet 2004 est une confirmation de la plainte; elle émane d'un responsable de la banque chargé de la sécurité et apporte des précisions sur les débits frauduleux en mentionnant les résultats d'une enquête interne; elle contient aussi des renseignements sur la victime des détournements. Ces différents renseignements, qui ne concernent pas la recourante, portent sur l'objet même de l'enquête menée à l'étranger; leur utilité est indéniable. Il en va de même du rapport de la police de sûreté du 27 octobre 2004, qui paraît identifier les auteurs des infractions. Le courrier échangé entre le Juge d'instruction et la banque Y.________ permet de comprendre les circonstances dans lesquelles le séquestre a été ordonné; la réponse de la banque comprend les documents d'ouverture du compte et les actes de constitution de la société recourante, ce qui correspond aussi à l'entraide requise. La décision de refus de lever le séquestre, prise le 15 juillet 2005 par le Juge d'instruction, ainsi que la confirmation de cette décision par le Tribunal d'accusation, le 26 septembre 2005, répondent également aux questions concernant la procédure de séquestre.</w:t>
      </w:r>
    </w:p>
    <w:p>
      <w:r>
        <w:t>Les actes transmis par le Juge d'instruction correspondent tous à la mission fixée par l'autorité requérante et présentent de ce fait une utilité à tout le moins potentielle. Dans ces conditions, il appartenait à la recourante de démontrer l'existence d'un intérêt à éviter la divulgation de certaines informations spécifiques. Faute d'une véritable argumentation de détail, le grief de la recourante pouvait être sommairement écarté, comme il l'a été par le Tribunal d'accusation.</w:t>
      </w:r>
    </w:p>
    <w:p>
      <w:r>
        <w:rPr>
          <w:b/>
        </w:rPr>
        <w:t>E. 4</w:t>
      </w:r>
    </w:p>
    <w:p>
      <w:r>
        <w:t>Sur le vu de ce qui précède, le recours de droit administratif doit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