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1A.22/2006 vom 15. Juni 2006</w:t>
      </w:r>
    </w:p>
    <w:p>
      <w:r>
        <w:t>Bundesgericht, 2006-06-15, FR</w:t>
      </w:r>
    </w:p>
    <w:p>
      <w:r>
        <w:rPr>
          <w:b/>
        </w:rPr>
        <w:t xml:space="preserve">Quelle: </w:t>
      </w:r>
      <w:r>
        <w:t>https://mcp.opencaselaw.ch/entscheid/bger_1A.22_2006</w:t>
      </w:r>
    </w:p>
    <w:p>
      <w:r>
        <w:t>FR: TF 1A.22/2006 du 15 juin 2006</w:t>
      </w:r>
    </w:p>
    <w:p>
      <w:r>
        <w:t>IT: TF 1A.22/2006 del 15 giugno 2006</w:t>
      </w:r>
    </w:p>
    <w:p>
      <w:pPr>
        <w:pStyle w:val="Heading2"/>
      </w:pPr>
      <w:r>
        <w:t>Regeste</w:t>
      </w:r>
    </w:p>
    <w:p>
      <w:r>
        <w:t>délimitation de tronçons de routes cantonales en traversée de localité | Construction des routes et circulation routière</w:t>
      </w:r>
    </w:p>
    <w:p>
      <w:pPr>
        <w:pStyle w:val="Heading2"/>
      </w:pPr>
      <w:r>
        <w:t>Erwägungen</w:t>
      </w:r>
    </w:p>
    <w:p>
      <w:r>
        <w:rPr>
          <w:b/>
        </w:rPr>
        <w:t>E. 1</w:t>
      </w:r>
    </w:p>
    <w:p>
      <w:r>
        <w:t>Le Tribunal fédéral examine d'office et avec une pleine cognition la recevabilité des recours qui lui sont soumis ( ATF 130 I 312 consid. 1 p. 317; 130 II 249 consid. 2 p. 250, 302 consid. 3 p. 303/304, 306 consid. 1.1 p. 308 et les arrêts cités).</w:t>
      </w:r>
    </w:p>
    <w:p>
      <w:r>
        <w:rPr>
          <w:b/>
        </w:rPr>
        <w:t>E. 2</w:t>
      </w:r>
    </w:p>
    <w:p>
      <w:r>
        <w:t>Le recours de droit administratif est ouvert contre les décisions au sens de l' art. 5 PA ( art. 97 al. 1 OJ ), à condition qu'elles émanent de l'une des autorités mentionnées à l' art. 98 OJ et pour autant qu'il n'existe pas de motif d'exclusion selon les art. 99 à 102 OJ ou selon la législation spéciale ( ATF 129 II 183 consid. 3.1 p. 186; 128 II 13 consid. 1b p. 16, 56 consid. 1a/aa p. 58, 259 consid. 1.2 p. 262, 311 consid. 2 p. 315). Selon l' art. 5 al. 1 PA , sont des décisions attaquables par la voie du recours de droit administratif les mesures, fondées sur le droit public fédéral - ou qui auraient dû l'être -, prises par les autorités dans des cas d'espèce et qui portent sur des droits ou des obligations.</w:t>
      </w:r>
    </w:p>
    <w:p>
      <w:r>
        <w:rPr>
          <w:b/>
        </w:rPr>
        <w:t>E. 2.1</w:t>
      </w:r>
    </w:p>
    <w:p>
      <w:r>
        <w:t>La recourante prétend agir par la voie du recours de droit administratif en invoquant les art. 3, 12 et 17 LUMin , ainsi que l'ordonnance sur les routes principales (RS 725.116.23). Elle relève que les tronçons de routes concernés par le transfert seraient des routes principales au sens de l'ordonnance précitée, subventionnées par la Confédération. Le canton serait donc tenu de construire et d'entretenir lui-même ces routes.</w:t>
      </w:r>
    </w:p>
    <w:p>
      <w:r>
        <w:rPr>
          <w:b/>
        </w:rPr>
        <w:t>E. 2.2</w:t>
      </w:r>
    </w:p>
    <w:p>
      <w:r>
        <w:t>La recourante perd de vue que l'arrêt cantonal est exclusivement fondé sur le droit cantonal. Il fait application de la LRou, en particulier de ses art. 7, 20 et 56 qui confèrent aux communes la propriété des routes en traversée de localité, ainsi que sur son art. 3 al. 4 qui charge le département de délimiter ces tronçons. L'arrêt attaqué est aussi fondé sur le règlement cantonal d'application, dans sa nouvelle teneur dépourvue de son article premier. A propos de la LUMin, le Tribunal administratif a simplement constaté, à juste titre, que cette loi ne donnait pas de droit à des prestations de la part du canton. De la même manière que les dispositions constitutionnelles sur lesquelles elle se fonde (soit notamment les actuels art. 83 et 86 Cst. ), la LUMin est uniquement consacrée à la répartition du produit de l'impôt entre différentes tâches liées à la circulation routière, notamment sous la forme d'une participation de la Confédération aux frais des routes nationales et de contributions aux frais de construction des routes principales. La loi est en revanche muette sur la répartition des charges à l'intérieur du canton. L' art. 17 LUMin , selon lequel les cantons construisent, entretiennent et exploitent les routes principales, n'empêche pas un transfert de la propriété et des charges d'entretien (la recourante ne le soutient d'ailleurs pas), et n'impose aucune rétrocession aux communes des contributions versées par la Confédération. Lorsqu'elle délègue une compétence ou attribue une tâche aux cantons, la Confédération doit respecter l'autonomie constitutionnelle de ces derniers ( art. 47 Cst. ); c'est par conséquent au seul droit cantonal qu'il appartient de définir l'organe ou la collectivité, qui va finalement être chargé de l'exécution (Auer/ Malinverni/Hottelier, Droit constitutionnel Suisse, Berne 2000 vol. 1 n° 997). Faute de toute mention dans la loi fédérale (cf. également FF 1984 I p. 1020), on ne saurait affirmer que le législateur fédéral aurait voulu porter atteinte, sur ce point, à la liberté d'organisation dont jouissent les cantons.</w:t>
      </w:r>
    </w:p>
    <w:p>
      <w:r>
        <w:rPr>
          <w:b/>
        </w:rPr>
        <w:t>E. 3</w:t>
      </w:r>
    </w:p>
    <w:p>
      <w:r>
        <w:t>L'arrêt cantonal n'est donc pas fondé sur le droit fédéral, et il n'avait pas à l'être. Le recours de droit administratif est par conséquent irrecevable, sans qu'il y ait à s'interroger sur la qualité pour agir de la commune recourante. Conformément à l' art. 156 al. 2 OJ , il n'est pas perçu d'émolument judiciaire. Selon l' art. 159 al. 2 OJ , il n'est pas alloué de dépens aux autorités qui obtiennent gain de cause, que celles-ci agissent par leurs propres services ou - comme l'a fait le département en l'occurrence - par un avocat indépendant.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