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1A.223/2004 vom 9. November 2004</w:t>
      </w:r>
    </w:p>
    <w:p>
      <w:r>
        <w:t>Bundesgericht, 2004-11-09, FR</w:t>
      </w:r>
    </w:p>
    <w:p>
      <w:r>
        <w:rPr>
          <w:b/>
        </w:rPr>
        <w:t xml:space="preserve">Quelle: </w:t>
      </w:r>
      <w:r>
        <w:t>https://mcp.opencaselaw.ch/entscheid/bger_1A.223_2004</w:t>
      </w:r>
    </w:p>
    <w:p>
      <w:r>
        <w:t>FR: TF 1A.223/2004 du 9 novembre 2004</w:t>
      </w:r>
    </w:p>
    <w:p>
      <w:r>
        <w:t>IT: TF 1A.223/2004 del 9 novembre 2004</w:t>
      </w:r>
    </w:p>
    <w:p>
      <w:pPr>
        <w:pStyle w:val="Heading2"/>
      </w:pPr>
      <w:r>
        <w:t>Regeste</w:t>
      </w:r>
    </w:p>
    <w:p>
      <w:r>
        <w:t>Entraide et extradition</w:t>
      </w:r>
    </w:p>
    <w:p>
      <w:pPr>
        <w:pStyle w:val="Heading2"/>
      </w:pPr>
      <w:r>
        <w:t>Erwägungen</w:t>
      </w:r>
    </w:p>
    <w:p>
      <w:r>
        <w:rPr>
          <w:b/>
        </w:rPr>
        <w:t>E. 1</w:t>
      </w:r>
    </w:p>
    <w:p>
      <w:r>
        <w:t>Les recours, dont l'argumentation est identique, sont formés par la même personne contre quatre décisions séparées la concernant et rendues dans le cadre de la même procédure. Il se justifie dès lors de joindre les causes et de statuer par un seul arrêt (cf. ATF 129 V 237 consid. 1 p. 240; 128 V 124 consid. 1 p. 126, 192 consid. 1 p. 194, et les arrêts cités).</w:t>
      </w:r>
    </w:p>
    <w:p>
      <w:r>
        <w:rPr>
          <w:b/>
        </w:rPr>
        <w:t>E. 2</w:t>
      </w:r>
    </w:p>
    <w:p>
      <w:r>
        <w:t>La Confédération suisse et le Royaume de Belgique sont tous deux parties à la Convention européenne d'entraide judiciaire en matière pénale (CEEJ; RS 0.351.1), conclue à Strasbourg le 20 avril 1959 et entrée en vigueur le 20 mars 1967 pour la Suisse et le 11 novembre 1975 pour la Belgique.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 ATF 123 II 134 consid. 1a p. 136; 122 II 140 consid. 2 p. 142, et les arrêts cités).</w:t>
      </w:r>
    </w:p>
    <w:p>
      <w:r>
        <w:rPr>
          <w:b/>
        </w:rPr>
        <w:t>E. 3</w:t>
      </w:r>
    </w:p>
    <w:p>
      <w:r>
        <w:t>Le Tribunal fédéral examine d'office et avec une pleine cognition la recevabilité des recours qui lui sont soumis ( ATF 130 II 249 consid. 2 p. 250, 302 consid. 3 p. 303/304, 306 consid. 1.1 p. 308, 321 consid. 1 p. 324, et les arrêts cités).</w:t>
      </w:r>
    </w:p>
    <w:p>
      <w:r>
        <w:rPr>
          <w:b/>
        </w:rPr>
        <w:t>E. 3.1</w:t>
      </w:r>
    </w:p>
    <w:p>
      <w:r>
        <w:t>La voie du recours de droit administratif est ouverte contre la décision confirmant la transmission de la documentation bancaire à l'Etat requérant (cf. art. 25 al. 1 EIMP ). Elle est aussi ouverte, simultanément avec le recours dirigé contre la décision de clôture ( art. 80d EIMP ), contre les décisions incidentes antérieures ( art. 80e EIMP ; cf. ATF 125 II 356 consid. 5c p. 363).</w:t>
      </w:r>
    </w:p>
    <w:p>
      <w:r>
        <w:rPr>
          <w:b/>
        </w:rPr>
        <w:t>E. 3.2</w:t>
      </w:r>
    </w:p>
    <w:p>
      <w:r>
        <w:t>En tant que titulaire des comptes visés par les décisions attaquées, le recourant a qualité pour agir, au sens de l' art. 80h let. b EIMP , mis en relation avec l' art. 9a let. a OEIMP , contre la transmission de la documentation y relative ( ATF 130 II 162 consid. 1.1 p. 164; 127 II 198 consid. 2d p. 205; 126 II 258 consid. 2d/aa p. 260, et les arrêts cités).</w:t>
      </w:r>
    </w:p>
    <w:p>
      <w:r>
        <w:rPr>
          <w:b/>
        </w:rPr>
        <w:t>E. 3.3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4</w:t>
      </w:r>
    </w:p>
    <w:p>
      <w:r>
        <w:t>Invoquant l' art. 14 CEEJ , le recourant se plaint de ce que l'exposé des faits joint à la demande serait lacunaire et insuffisamment motivé. Tel qu'il est formulé, le grief de constatation inexacte des faits (cf. art. 104 let. b OJ ) n'a pas de portée propre à cet égard.</w:t>
      </w:r>
    </w:p>
    <w:p>
      <w:r>
        <w:rPr>
          <w:b/>
        </w:rPr>
        <w:t>E. 4.1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ainsi qu'un bref exposé des faits essentiels ( art. 28 al. 3 let. a EIMP ). Les indications fournies à ce titre doivent simplement suffire pour vérifier que la demande n'est pas d'emblée inadmissible ( ATF 116 Ib 96 consid. 3a p. 101; 115 Ib 68 consid. 3b/aa p. 77).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4.2</w:t>
      </w:r>
    </w:p>
    <w:p>
      <w:r>
        <w:t>L'exposé des faits joint à la demande du 16 janvier 2004 doit être examiné au regard du complément du 19 mai suivant. B.________, directeur administratif du groupe X.________, aurait été chargé de l'acquisition de cadeaux publicitaires destinés aux clients du groupe. Avec le recourant, il dominerait des sociétés établies à Hong Kong et Taïwan, soit F.________, G.________, H.________ et I.________. B.________ et le recourant auraient placé à la tête de ces sociétés deux comparses, soit J.________ (pour F.________ et G.________) et K.________ (pour H.________ et I.________). B.________ serait convenu avec le recourant d'un prix pour les objets à fournir à X.________. Le recourant aurait ensuite communiqué ce prix à I.________ et à K.________, qui auraient fait à X.________ une proposition correspondante dans le cadre d'un appel d'offres ainsi biaisé. B.________ aurait fait attribuer le contrat aux sociétés en question. Une fois le prix payé, une partie du bénéfice aurait été répartie entre B.________ et le recourant. La part de ceux-ci aurait été acheminée sur leurs comptes bancaires pour être réinvestie dans des projets immobiliers à travers le monde. Le recourant tient cet exposé pour grossièrement inexact. Il conteste dominer, avec B.________, F.________, G.________, H.________ et I.________, qui se trouveraient entièrement entre les mains de tiers, et dont il ne serait que le client. Quant à J.________ et K.________, ils ne pourraient être assimilés à des hommes de paille, comme le fait le Juge Van Espen. Outre qu'il s'agit là d'éléments à décharge dont seul le juge du fond peut connaître, ils ne dissipent pas d'emblée le soupçon d'une entente, peut-être étendue à d'autres comparses que B.________ et le recourant. C'est ce que l'enquête en cours a précisément pour but de déterminer.</w:t>
      </w:r>
    </w:p>
    <w:p>
      <w:r>
        <w:rPr>
          <w:b/>
        </w:rPr>
        <w:t>E. 5</w:t>
      </w:r>
    </w:p>
    <w:p>
      <w:r>
        <w:t>Le recourant soutient que la condition de la double incrimination ne serait pas respectée.</w:t>
      </w:r>
    </w:p>
    <w:p>
      <w:r>
        <w:rPr>
          <w:b/>
        </w:rPr>
        <w:t>E. 5.1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5.2</w:t>
      </w:r>
    </w:p>
    <w:p>
      <w:r>
        <w:t>Pour l'Office fédéral, le comportement dont le recourant est soupçonné, s'il avait été commis en Suisse, pourrait être constitutif d'escroquerie, de gestion déloyale, d'abus de confiance et de blanchiment d'argent. Le recourant le conteste, en reprenant l'argumentation selon laquelle lui et B.________ ne contrôleraient pas les sociétés asiatiques impliquées, et que J.________ et K.________ ne seraient pas des complices. Comme on vient de le voir, ces affirmations ne sont pas déterminantes. A supposer que le recourant, B.________, J.________ et K.________ se seraient entendus pour fournir au groupe X.________ des objets à un prix surfait, de tels faits pourraient être assimilés à une escroquerie dans la mesure où le mécanisme frauduleux nécessite la mise sur pied d'un stratagème complexe d'appel d'offres biaisé, afin de masquer les liens existant entre B.________ et le recourant d'une part, J.________ et K.________, d'autre part. Cela rend superflu l'examen d'une éventuelle punissabilité au titre de l'abus de confiance ou de la gestion déloyale. Pour le surplus, il n'est pas exclu que le fait de cacher le produit de l'infraction et de le réinvestir dans des activités licites, puisse être considéré comme du blanchiment d'argent.</w:t>
      </w:r>
    </w:p>
    <w:p>
      <w:r>
        <w:rPr>
          <w:b/>
        </w:rPr>
        <w:t>E. 6</w:t>
      </w:r>
    </w:p>
    <w:p>
      <w:r>
        <w:t>Les recours doivent ainsi être rejetés.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