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1A.218/2002 vom 9. Januar 2003</w:t>
      </w:r>
    </w:p>
    <w:p>
      <w:r>
        <w:t>Bundesgericht, 2003-01-09, FR</w:t>
      </w:r>
    </w:p>
    <w:p>
      <w:r>
        <w:rPr>
          <w:b/>
        </w:rPr>
        <w:t xml:space="preserve">Quelle: </w:t>
      </w:r>
      <w:r>
        <w:t>https://mcp.opencaselaw.ch/entscheid/bger_1A.218_2002</w:t>
      </w:r>
    </w:p>
    <w:p>
      <w:r>
        <w:t>FR: TF 1A.218/2002 du 9 janvier 2003</w:t>
      </w:r>
    </w:p>
    <w:p>
      <w:r>
        <w:t>IT: TF 1A.218/2002 del 9 gennaio 2003</w:t>
      </w:r>
    </w:p>
    <w:p>
      <w:pPr>
        <w:pStyle w:val="Heading2"/>
      </w:pPr>
      <w:r>
        <w:t>Regeste</w:t>
      </w:r>
    </w:p>
    <w:p>
      <w:r>
        <w:t>Entraide et extradition</w:t>
      </w:r>
    </w:p>
    <w:p>
      <w:pPr>
        <w:pStyle w:val="Heading2"/>
      </w:pPr>
      <w:r>
        <w:t>Erwägungen</w:t>
      </w:r>
    </w:p>
    <w:p>
      <w:r>
        <w:rPr>
          <w:b/>
        </w:rPr>
        <w:t>E. 1.1</w:t>
      </w:r>
    </w:p>
    <w:p>
      <w:r>
        <w:t>L'entraide judiciaire entre les Etats-Unis d'Amérique et la Confédération est régie par le TEJUS et la loi fédérale y relative, du 3 octobre 1975 (LTEJUS; RS 351.93). L'EIMP et son ordonnance d'exécution demeurent réservées pour des questions qui ne sont pas réglées par le TEJUS et la LTEJUS ( ATF 124 II 124 consid. 1a p. 126; 118 Ib 547 consid. 1b p. 550).</w:t>
      </w:r>
    </w:p>
    <w:p>
      <w:r>
        <w:rPr>
          <w:b/>
        </w:rPr>
        <w:t>E. 1.2</w:t>
      </w:r>
    </w:p>
    <w:p>
      <w:r>
        <w:t>La décision par laquelle l'Office fédéral comme office central suisse octroie l'entraide judiciaire en vertu de l' art. 5 let. b LTEJUS et rejette une opposition selon l'art. 16 de la même loi, peut être attaquée par la voie du recours de droit administratif prévue à l' art. 17 al. 1 LTEJUS ( ATF 124 II 124 consid. 1b p. 126; 118 Ib 547 consid. 1c p. 550). En l'occurrence, la décision attaquée porte sur la saisie notamment des comptes n°1 et 2. Or, il est apparu ultérieurement que ce dernier n'a jamais existé, du moins pas sous la rubrique désignée dans la demande américaine. Partant, l'objet du recours est circonscrit au compte n°1.</w:t>
      </w:r>
    </w:p>
    <w:p>
      <w:r>
        <w:rPr>
          <w:b/>
        </w:rPr>
        <w:t>E. 1.3</w:t>
      </w:r>
    </w:p>
    <w:p>
      <w:r>
        <w:t>La recourante, titulaire de ce compte, a qualité pour recourir au sens de l' art. 103 let. a OJ , mis en relation avec l' art. 17 LTEJUS ( ATF 118 Ib 547 consid. 1d p. 550 et les arrêts cités).</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1.5</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2</w:t>
      </w:r>
    </w:p>
    <w:p>
      <w:r>
        <w:t>Selon la recourante, l'état de fait joint à la demande serait insuffisant.</w:t>
      </w:r>
    </w:p>
    <w:p>
      <w:r>
        <w:rPr>
          <w:b/>
        </w:rPr>
        <w:t>E. 2.1</w:t>
      </w:r>
    </w:p>
    <w:p>
      <w:r>
        <w:t>Ni le traité ni la loi d'application y relative ne précisent la manière dont les autorités de l'Etat requérant doivent exposer les faits à la base de la procédure d'enquête. L' 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 art. 10 LTEJUS prescrit pour sa part à l'office central suisse de contrôler à titre préliminaire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 art. 29 al. 1 TEJUS impliquent l'obligation pour l'Etat requérant de présenter un bref exposé des faits essentiels et d'indiquer, quand cela est possible, le lieu, la date et le mode de commission de l'infraction (cf. art. 28 al. 3 let. a EIMP et 10 al. 2 OEIMP). Les indications fournies à ce titre doivent simplement suffire pour vérifier que la demande n'est pas d'emblée inadmissible ( ATF 116 Ib 96 consid. 3a p. 101; 115 Ib 68 consid. 3b/aa p. 77). Lorsque la demande tend, comme en l'espèce, à la remise de documents bancaires et au blocage de fonds,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1A.211/1992 du 29 juin 1993; consid. 6a non publié à l' ATF 125 II 356 ; consid. 3a non publié à l' ATF 126 II 258 ).</w:t>
      </w:r>
    </w:p>
    <w:p>
      <w:r>
        <w:rPr>
          <w:b/>
        </w:rPr>
        <w:t>E. 2.2</w:t>
      </w:r>
    </w:p>
    <w:p>
      <w:r>
        <w:t>Selon la recourante, la demande ne contiendrait aucun élément propre à démontrer, même à première vue, que ses comptes auraient été utilisés pour effectuer les paiements à raison desquels l'action pénale a été engagée dans l'Etat requérant. Les investigations conduites dans l'Etat requérant ont mis en évidence que la prise de participation de O.________ dans T.________, en vue d'obtenir des droits d'exploitation ou de prospection pétrolières au Kazakhstan, a donné lieu à une vaste opération de corruption: O.________ et ses intermédiaires ont corrompu des officiels kazakhs, qui ont eux-mêmes distribué des pots-de-vin aux employés de O.________. G.________ et M.________ ont joué le rôle d'intermédiaires, le premier pour le compte des compagnies pétrolières américaines, la deuxième pour celui des officiels kazakhs corrompus. Tout laisse à penser que ceux-ci sont les ayants droit de M.________ et les bénéficiaires des fonds versés par celle-ci à des tiers. Il ressort implicitement des demandes des 26 avril et 23 mai 2001, lus à la lumière de la demande initiale du 12 juin 2000, que N.________, même si son implication dans l'affaire n'est qu'indirecte, aurait joué le rôle de relais dans l'acheminement des fonds jusqu'à leurs ultimes destinataires. Ces indications sont suffisantes pour admettre que l'état de fait joint à la demande répond aux exigences de l' art. 29 al. 1 TEJUS .</w:t>
      </w:r>
    </w:p>
    <w:p>
      <w:r>
        <w:rPr>
          <w:b/>
        </w:rPr>
        <w:t>E. 3</w:t>
      </w:r>
    </w:p>
    <w:p>
      <w:r>
        <w:t>Selon la recourante, la condition de la double incrimination ne serait pas remplie.</w:t>
      </w:r>
    </w:p>
    <w:p>
      <w:r>
        <w:rPr>
          <w:b/>
        </w:rPr>
        <w:t>E. 3.1</w:t>
      </w:r>
    </w:p>
    <w:p>
      <w:r>
        <w:t>Saisie d'une demande d'entraide américaine impliquant des mesures de contrainte, l'autorité suisse doit s'assurer, selon l' art. 4 al. 2 let. a TEJUS , que les faits allégués réunissent les conditions objectives d'une infraction mentionnée dans la liste annexée au TEJUS et punissable selon sa propre législation. Elle statue sur l'existence de ces conditions en appliquant uniquement le droit suisse (art. 4 al. 4). Sous l'angle de l'art. 4 al. 2 let. a du TEJUS, il n'est pas nécessaire que la législation suisse donne aux faits de la demande la même qualification juridique que la législation américaine, ni qu'ils soient soumis aux mêmes conditions de punissabilité ou passibles de peines équivalentes ( art. 4 al. 4 TEJUS ).</w:t>
      </w:r>
    </w:p>
    <w:p>
      <w:r>
        <w:rPr>
          <w:b/>
        </w:rPr>
        <w:t>E. 3.2</w:t>
      </w:r>
    </w:p>
    <w:p>
      <w:r>
        <w:t>Aux Etats-Unis, G.________ et ses co-accusés sont poursuivis pour corruption, parce qu'ils auraient participé aux transferts de montants destinés à corrompre des agents publics kazakhs. Les faits qui leur sont reprochés, tels qu'ils sont établis de manière suffisante dans la demande (cf. art. 1 al. 2 TEJUS ; ATF 118 Ib 111 consid. 5b p. 122, 547 consid. 3a p. 551/552), pourraient aussi tomber sous le coup des prescriptions réprimant les organisations criminelles selon le Chapitre 18 du Code des Etats-Unis. Des mesures de contrainte, tels que le blocage de comptes bancaires et la transmission de la documentation y relative, peuvent être ordonnées en Suisse au regard de la liste annexée au TEJUS (ch. 22 et 34), y compris pour le blanchiment d'argent. En Suisse, ces faits auraient pu tomber sous le coup des art. 322sexies ou septies CP, ainsi que de l' art. 305bis CP , comme indiqué par l'Office fédéral. A cet égard, c'est en vain que la recourante objecte n'être (elle-même ou ses dirigeants) pas accusée aux Etats-Unis parce qu'aucun comportement de corruption d'agents publics étrangers ne pourrait lui être reproché. En effet,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w:t>
      </w:r>
    </w:p>
    <w:p>
      <w:r>
        <w:rPr>
          <w:b/>
        </w:rPr>
        <w:t>E. 4</w:t>
      </w:r>
    </w:p>
    <w:p>
      <w:r>
        <w:t>La recourante se prévaut du principe de la proportionnalité.</w:t>
      </w:r>
    </w:p>
    <w:p>
      <w:r>
        <w:rPr>
          <w:b/>
        </w:rPr>
        <w:t>E. 4.1</w:t>
      </w:r>
    </w:p>
    <w:p>
      <w:r>
        <w:t>Ne sont admissibles, au regard de l' art. 9 al. 1 TEJUS , mis en relation avec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Les autorités américaines réclament la documentation concernant le compte n°1, afin d'éclaircir le rôle respectif de M.________ et de N.________ dans l'opération de corruption croisée entre les responsables kazakhs et les cadres de O.________. Selon l'exposé des faits joints à la demande du 26 avril 2001, ces deux sociétés seraient entrées en relation en 1995, époque à partir de laquelle des virements suspects auraient été effectués. Les relevés du compte n°1 confirment les versements suspects indiqués dans la demande et ses compléments (soit les virements des 6 novembre 1995, 26 août, 17 septembre, 22 octobre et 19 novembre 1996). En outre, la documentation saisie contient une note, établie le 4 novembre 1995 par une agence spécialisée, rendant compte de la prise de participation de O.________ dans T.________. Cette pièce accrédite la thèse de l'implication de la recourante dans l'affaire qui est à l'origine de la procédure ouverte aux Etats-Unis. Sur le vu de ces éléments, la transmission de la documentation bancaire s'impose, du moins pour celle établie après le 1er janvier 1995. En effet, il convient de mettre les enquêteurs américains en situation de retracer le cheminement des fonds entre M.________ et la recourante, afin de pouvoir aussi déterminer leurs destinataires finals. A cet égard, la recourante n'allègue pas, de la manière précise et détaillée qu'exige la jurisprudence, pourquoi ne devrait pas être remise telle ou telle pièce de la documentation saisie. L'examen de celle-ci laisse à penser que le compte n°1 servait de passerelle entre plusieurs intermédiaires: de gros montants perçus ont été régulièrement réacheminés sur d'autres comptes, la recourante conservant une différence appréciable (dont on peut supposer qu'il s'agissait de commissions) pour ses propres besoins ou ceux de son ayant droit.</w:t>
      </w:r>
    </w:p>
    <w:p>
      <w:r>
        <w:rPr>
          <w:b/>
        </w:rPr>
        <w:t>E. 4.3</w:t>
      </w:r>
    </w:p>
    <w:p>
      <w:r>
        <w:t>Lorsque les faits à raison desquels l'enquête est ouverte dans l'Etat requérant s'étendent sur une période longue ou indéterminée et que l'implication du détenteur de la documentation à transmettre ne peut être circonscrite dans une période précise, il peut se justifier d'investiguer en amont et en aval du complexe de faits décrits dans la demande et de transmettre des documents antérieurs ou postérieurs à l'époque de ceux-ci (cf. arrêt 1A.212/2001 du 21 mars 2002, consid. 9.2.2). En l'occurrence, comme on vient de le voir, la remise de la documentation postérieure au 1er janvier 1995 est nécessaire. Tel n'est pas le cas, en l'état, de la documentation relative à la période allant du 19 août 1992, date d'ouverture du compte n°1, jusqu'au 31 décembre 1994. La demande ne relate en effet aucun élément permettant d'établir un lien entre la recourante et les personnes, physiques ou morales, impliquées dans l'affaire, avant 1995.</w:t>
      </w:r>
    </w:p>
    <w:p>
      <w:r>
        <w:rPr>
          <w:b/>
        </w:rPr>
        <w:t>E. 4.4</w:t>
      </w:r>
    </w:p>
    <w:p>
      <w:r>
        <w:t>Le principe de la proportionnalité ne fait ainsi pas obstacle à la remise de la documentation relative au compte n°1, du moins pour ce qui concerne l'époque postérieure au 1er janvier 1995. Si les autorités de l'Etat requérant devaient prendre connaissance d'éléments justifiant la remise de la documentation antérieure à cet date, elles seraient libres de présenter à l'Office fédéral une nouvelle demande en ce sens.</w:t>
      </w:r>
    </w:p>
    <w:p>
      <w:r>
        <w:rPr>
          <w:b/>
        </w:rPr>
        <w:t>E. 5</w:t>
      </w:r>
    </w:p>
    <w:p>
      <w:r>
        <w:t>Le recours doit ainsi être admis partiellement au sens du considérant 4.3 et rejeté pour le surplus. La recourante n'obtenant que très partiellement gain de cause, des frais réduits seront mis à sa charge ( art. 156 OJ ). Compte tenu de l'issue de la cause, des dépens, d'un montant également réduit, seront alloués à la recourante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