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1A.216/2001 vom 21. März 2002</w:t>
      </w:r>
    </w:p>
    <w:p>
      <w:r>
        <w:t>Bundesgericht, 2002-03-21, FR</w:t>
      </w:r>
    </w:p>
    <w:p>
      <w:r>
        <w:rPr>
          <w:b/>
        </w:rPr>
        <w:t xml:space="preserve">Quelle: </w:t>
      </w:r>
      <w:r>
        <w:t>https://mcp.opencaselaw.ch/entscheid/bger_1A.216_2001</w:t>
      </w:r>
    </w:p>
    <w:p>
      <w:r>
        <w:t>FR: TF 1A.216/2001 du 21 mars 2002</w:t>
      </w:r>
    </w:p>
    <w:p>
      <w:r>
        <w:t>IT: TF 1A.216/2001 del 21 marzo 2002</w:t>
      </w:r>
    </w:p>
    <w:p>
      <w:pPr>
        <w:pStyle w:val="Heading2"/>
      </w:pPr>
      <w:r>
        <w:t>Regeste</w:t>
      </w:r>
    </w:p>
    <w:p>
      <w:r>
        <w:t>Entraide et extradition</w:t>
      </w:r>
    </w:p>
    <w:p>
      <w:pPr>
        <w:pStyle w:val="Heading2"/>
      </w:pPr>
      <w:r>
        <w:t>Erwägungen</w:t>
      </w:r>
    </w:p>
    <w:p>
      <w:r>
        <w:rPr>
          <w:b/>
        </w:rPr>
        <w:t>E. 1.1</w:t>
      </w:r>
    </w:p>
    <w:p>
      <w:r>
        <w:t>L'entraide entre la République française et la Confédération est régie par la CEEJ et l'Accord complémentaire. Les dispositions de ces instruments internationaux l'emportent sur le droit autonome qui régit la matière, soit en l'occurrence l'EIMP et l'OEIMP. Celles-ci restent toutefois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Est réservée l'exigence du respect des droits fondamentaux ( ATF 123 II 595 consid. 7c p. 617).</w:t>
      </w:r>
    </w:p>
    <w:p>
      <w:r>
        <w:rPr>
          <w:b/>
        </w:rPr>
        <w:t>E. 1.2</w:t>
      </w:r>
    </w:p>
    <w:p>
      <w:r>
        <w:t>La voie du recours de droit administratif est ouverte contre la décision confirmant la transmission de la documentation bancaire à l'Etat requérant et la saisie de comptes bancaires (cf. art. 25 al. 1 EIMP ).</w:t>
      </w:r>
    </w:p>
    <w:p>
      <w:r>
        <w:rPr>
          <w:b/>
        </w:rPr>
        <w:t>E. 1.3</w:t>
      </w:r>
    </w:p>
    <w:p>
      <w:r>
        <w:t>Au regard de l' art. 80h let. b EIMP , mis en relation avec l' art. 9a let. a OEIMP , le recourant a qualité pour agir contre la décision confirmant la transmission de la documentation relative aux comptes dont il est le titulaire ( ATF 127 II 198 consid 2d p. 205; 126 II 258 consid. 2d/aa p. 260; 125 II 356 consid. 3b/bb p. 362, et les arrêts cités), soit les comptes nos1, 2, 3, 6, 7 et 8. En revanche, il n'a pas qualité pour agir s'agissant des comptes nos4 et 5, dont il n'est que l'ayant droit ( ATF 123 II 153 consid. 2b p. 156/157; 122 II 130 consid. 2b p. 132/133). A cet égard, le recourant se prévaut de la jurisprudence selon laquelle a exceptionnellement qualité pour agir l'ayant droit de la personne morale lorsque celle-ci a été dissoute, sous réserve de l'abus de droit ( ATF 123 II 153 consid. 2c et dd p. 157/158). Il appartient à l'ayant droit de prouver la liquidation, documents officiels à l'appui (arrêts 1A.10/2000 du 18 mai 2000, consid. 1e; 1A.131/1999 du 26 août 1999, consid. 3 et 1A.236/1998 du 25 janvier 1999, consid. 1b/bb). Celle-ci est abusive lorsqu'elle est intervenue, sans raison économique apparente, dans un délai proche de l'ouverture de l'action pénale dans l'Etat requérant (arrêt 1A.10/2000, précité, consid. 2.). Il faut en outre que l'acte de dissolution indique clairement l'ayant droit comme son bénéficiaire (arrêt 1A.84/1999 du 31 mai 1999, consid. 2c).</w:t>
      </w:r>
    </w:p>
    <w:p>
      <w:r>
        <w:rPr>
          <w:b/>
        </w:rPr>
        <w:t>E. 1.3.1</w:t>
      </w:r>
    </w:p>
    <w:p>
      <w:r>
        <w:t>Devant la Chambre d'accusation, le recourant a produit une attestation émanant du registre du commerce d'Amsterdam, datée du 5 juillet 2001, indiquant que MM.________ a été dissoute le 9 octobre 2000, sans en tirer toutefois les conclusions procédurales que la Chambre d'accusation n'a pas prises en compte. Quoi qu'il en soit, ce document n'est pas, au regard de la jurisprudence qui vient d'être rappelée, de nature à admettre la qualité pour agir du recourant s'agissant du compte n° 4. En effet, la date de dissolution de MM.________ est très proche de celle de l'ouverture de la procédure pénale en France. En outre, l'acte de dissolution ne contient aucune indication permettant de déterminer le sort des avoirs de la société; en particulier, ils ne démontrent pas que A.________ aurait été habilité à disposer effectivement du compte n° 4.</w:t>
      </w:r>
    </w:p>
    <w:p>
      <w:r>
        <w:rPr>
          <w:b/>
        </w:rPr>
        <w:t>E. 1.3.2</w:t>
      </w:r>
    </w:p>
    <w:p>
      <w:r>
        <w:t>A l'appui du recours de droit administratif, le recourant soutient que la société OO.________ n'apparaîtrait plus sur les registres du Royaume-Uni. Cette affirmation, corroborée par aucun document officiel, ne permet pas de reconnaître au recourant la qualité pour agir s'agissant du compte n° 5. Il paraît étrange, au demeurant, que l'ayant droit économique du compte ne sache pas ce qu'il est advenu de la personne morale titulaire de celui-ci.</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w:t>
      </w:r>
    </w:p>
    <w:p>
      <w:r>
        <w:t>Le recourant reproche au Juge d'instruction, puis à la Chambre d'accusation, de ne pas lui avoir donné l'occasion de prendre connaissance des demandes antérieures à celle du 17 janvier 2001. Il y voit une violation de son droit d'être entendu.</w:t>
      </w:r>
    </w:p>
    <w:p>
      <w:r>
        <w:rPr>
          <w:b/>
        </w:rPr>
        <w:t>E. 2.1</w:t>
      </w:r>
    </w:p>
    <w:p>
      <w:r>
        <w:t>Dans les domaines, comme la coopération judiciaire en matière pénale, relevant de la juridiction administrative fédérale, le recours de droit administratif permet aussi de soulever le grief de la violation des droits constitutionnels, en relation avec l'application du droit fédéral ( ATF 124 II 132 consid. 2a p. 137, et les arrêts cités).</w:t>
      </w:r>
    </w:p>
    <w:p>
      <w:r>
        <w:rPr>
          <w:b/>
        </w:rPr>
        <w:t>E. 2.2</w:t>
      </w:r>
    </w:p>
    <w:p>
      <w:r>
        <w:t>Les parties ont le droit d'être entendues ( art. 29 al. 2 Cst. ). Cela inclut le droit du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127 I 54 consid. 2b p. 56; 126 V 130 consid. 2 p. 130-132; cf., pour la jurisprudence relative à l' art. 4a Cst. , ATF 126 I 15 consid. 2a/aa p. 16, et les arrêts cités). Le droit de consulter le dossier s'étend à toutes les pièces décisives (cf. ATF 121 I 225 consid. 2a p. 227); a contrario, la consultation de pièces superflues peut être refusée (arrêt 1A.149/1999 du 9 septembre 1999, consid. 4b).</w:t>
      </w:r>
    </w:p>
    <w:p>
      <w:r>
        <w:rPr>
          <w:b/>
        </w:rPr>
        <w:t>E. 2.3</w:t>
      </w:r>
    </w:p>
    <w:p>
      <w:r>
        <w:t>Le recourant est intervenu dans la procédure le 15 mars 2001. Il a demandé à pouvoir consulter le dossier. Le 16 mars 2001, le Juge d'instruction lui a remis la demande complémentaire du 17 janvier 2001, dont certains passages concernant des tiers avaient été masqués. Le recourant ne prétend pas avoir demandé au Juge d'instruction la consultation des demandes antérieures. Ce n'est que dans la procédure de recours cantonale qu'il s'est plaint de ce défaut. Cela étant, comme le relève la Chambre d'accusation la consultation des demandes antérieures à celle du 17 janvier 2001 était en l'espèce superflue. La demande du 22 décembre 2000 a été complétée les 2, 4 et 17 janvier 2001. Elle tendait à l'identification des comptes détenus ou contrôlés par R.________. Les demandes complémentaires se rapportant au même état de fait, portaient sur l'extension de la mission confiée aux autorités suisses, soit à raison des comptes visés (demandes des 2 et 17 janvier 2001), soit à raison de l'aire de recherche (le territoire du canton de Genève, selon la demande originaire; tout le territoire suisse, selon la demande du 4 janvier 2001). Comme l'a relevé la Chambre d'accusation, la demande du 17 janvier 2001 a repris intégralement l'exposé des faits de la demande originaire, tout en précisant le champ des investigations demandées. En disposant de la demande du 17 janvier 2001 qui le concernait spécifiquement, le recourant a eu accès à toutes les données dont disposait le Juge d'instruction, quant aux tenants et aboutissants de la procédure ouverte en France. L'autorité cantonale pouvait dès lors tenir pour superflue la remise des demandes antérieures, qui n'auraient rien appris au recourant qu'il ne savait déjà. Le grief doit ainsi être écarté. Les conclusions préalables du recours ont perdu leur objet.</w:t>
      </w:r>
    </w:p>
    <w:p>
      <w:r>
        <w:rPr>
          <w:b/>
        </w:rPr>
        <w:t>E. 3</w:t>
      </w:r>
    </w:p>
    <w:p>
      <w:r>
        <w:t>Le recourant se plaint de n'avoir pas pu consulter le dossier, partant ne pas avoir eu l'occasion de participer au tri des pièces à remettre.</w:t>
      </w:r>
    </w:p>
    <w:p>
      <w:r>
        <w:rPr>
          <w:b/>
        </w:rPr>
        <w:t>E. 3.1</w:t>
      </w:r>
    </w:p>
    <w:p>
      <w:r>
        <w:t>La participation du détenteur au tri des pièces à remettre à l'Etat requérant découle, au premier chef, de son droit d'être entendu. Elle est aussi un corollaire du principe de la bonne foi régissant les rapports mutuels entre les citoyens et l'Etat. La personne touchée par la saisie de documents lui appartenant est tenue, à peine de forclusion, d'indiquer à l'autorité quels documents ne devraient pas, selon elle, être transmis et pour quels motifs. Le tri des pièces n'est ainsi pas l'affaire exclusive de l'autorité; il incombe à cet égard au détenteur un véritable devoir de collaboration. Pour le remplir, encore faut-il que le détenteur ait l'occasion, concrète et effective, de se déterminer ( ATF 126 II 258 consid. 9b/aa p. 262; cf. aussi ATF 127 II 151 consid. 4c p. 155/156).</w:t>
      </w:r>
    </w:p>
    <w:p>
      <w:r>
        <w:rPr>
          <w:b/>
        </w:rPr>
        <w:t>E. 3.2</w:t>
      </w:r>
    </w:p>
    <w:p>
      <w:r>
        <w:t>Le recourant est intervenu dans la procédure le 15 mars 2001, en demandant à pouvoir consulter le dossier. Le 16 mars 2001, le Juge d'instruction a communiqué au recourant une copie de la demande du 17 janvier 2001. Le 11 avril 2001, le recourant a réitéré sa demande de consultation du dossier. Toutefois, hormis la communication de la demande du 17 janvier 2001, le Juge d'instruction n'a pas répondu au recourant. Dans la décision attaquée, la Chambre d'accusation a souligné ce manquement. Elle a considéré toutefois que le recourant savait, sur le vu de l'ordonnance de clôture du 5 juin 2001, quels documents le Juge d'instruction entendait transmettre à l'Etat requérant. Le recourant aurait dès lors, selon la Chambre d'accusation, pu se déterminer sur le tri des pièces dans le cadre de la procédure cantonale de recours, réparant ainsi le défaut de la procédure d'exécution; or, il n'avait pas fait usage de cette possibilité. Cette solution peut paraître très rigoureuse. Elle peut cependant être maintenue si l'on considère que le titulaire des comptes, détenteur des documents à transmettre, connaît ceux-ci mieux que l'autorité d'exécution. Il lui appartient d'éclairer l'autorité en lui adressant spontanément, de manière précise et détaillée, tous les arguments commandant, selon lui, de ne pas transmettre telle ou telle pièce. Le détenteur ne peut se cantonner dans une position passive ou, comme le fait le recourant, de se borner à prétendre que le tri serait impossible à faire, en raison du caractère prétendument lacunaire de la demande (cf. consid. 4 ci-dessous).</w:t>
      </w:r>
    </w:p>
    <w:p>
      <w:r>
        <w:rPr>
          <w:b/>
        </w:rPr>
        <w:t>E. 4</w:t>
      </w:r>
    </w:p>
    <w:p>
      <w:r>
        <w:t>Selon le recourant, la demande d'entraide serait insuffisamment motivée.</w:t>
      </w:r>
    </w:p>
    <w:p>
      <w:r>
        <w:rPr>
          <w:b/>
        </w:rPr>
        <w:t>E. 4.1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1A.211/1992 du 29 juin 1993).</w:t>
      </w:r>
    </w:p>
    <w:p>
      <w:r>
        <w:rPr>
          <w:b/>
        </w:rPr>
        <w:t>E. 4.2</w:t>
      </w:r>
    </w:p>
    <w:p>
      <w:r>
        <w:t>Selon la demande du 17 janvier 2001, les opérations délictueuses reprochées au recourant se décomposent en trois volets consécutifs: les ventes illicites d'armes à l'Angola, par l'entremise de X.________ et de B.________; le détournement du produit de ces ventes, au détriment de X.________ et de B.________; le transfert du butin, en tout ou partie, sur des comptes bancaires en Suisse. La demande ne tend pas à la remise de moyens de preuve concernant les ventes d'armes ou les détournements de fonds. L'entraide a été requise uniquement pour l'établissement des faits concernant le dernier volet de blanchiment d'argent. A cet égard, la demande ne contient guère d'indications précises propres à étayer que les fonds détournés ont été acheminés en Suisse. Cet élément indispensable à l'octroi de l'entraide est certes évoqué de manière expresse. Il aurait cependant mérité quelques développements. L'autorité requérante aurait ainsi, par exemple, pu se référer à des faits révélés dans l'état de l'enquête et dont elle aurait cherché la confirmation ou l'infirmation. Il aurait pu paraître souhaitable que le Juge d'instruction ou la Chambre d'accusation invite l'Etat requérant à préciser ce point, dans toute la mesure compatible avec les besoins de l'enquête en France. Cela étant, comme cela ressort de l'état de fait d'une cause parallèle à la présente (cause 1A.205/2001), certains personnages impliqués dans l'affaire ont reconnu avoir reçu de F.________, en relation avec les ventes d'armes litigieuses, des fonds ultérieurement transférés en Suisse. Cela suffit pour admettre qu'il existe un lien entre les activités délictueuses dont F.________ et A.________ sont soupçonnés en France et la saisie de leurs comptes bancaires en Suisse. Ainsi comprise, la demande, malgré ses défauts, peut être tenue pour conforme aux exigences des art. 14 CEEJ et 28 al. 2 EIMP.</w:t>
      </w:r>
    </w:p>
    <w:p>
      <w:r>
        <w:rPr>
          <w:b/>
        </w:rPr>
        <w:t>E. 5</w:t>
      </w:r>
    </w:p>
    <w:p>
      <w:r>
        <w:t>Le recourant soutient que la condition de la double incrimination ne serait pas réalisée pour ce qui concerne la vente d'armes.</w:t>
      </w:r>
    </w:p>
    <w:p>
      <w:r>
        <w:rPr>
          <w:b/>
        </w:rPr>
        <w:t>E. 5.1</w:t>
      </w:r>
    </w:p>
    <w:p>
      <w:r>
        <w:t>La remise de documents bancaires et la saisie d'avoirs placés sur des comptes bancaires constituent des mesures de contrainte au sens de l' art. 63 al. 2 let . c et d EIMP, qui ne peuvent être ordonnées, selon l' art. 64 al. 1 EIMP , que si l'état de fait exposé dans la demande correspond aux éléments objectifs d'une infraction réprimée par le droit suisse.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5.2</w:t>
      </w:r>
    </w:p>
    <w:p>
      <w:r>
        <w:t>Dans un premier moyen, le recourant se prévaut de l'arrêt rendu le 27 juin 2001 par la Cour de cassation française. Celle-ci a annulé la décision rendue par l'autorité inférieure pour ce qui concerne le chef tiré de l'art. 24 du décret-loi de 1939, au motif que la plainte du ministère compétent, nécessaire à l'ouverture de l'action pénale selon l'art. 36 al. 3 du même texte, faisait défaut. Le recourant en déduit, de manière implicite, que les poursuites de vente illicite d'armes seraient abandonnées en France. Du même coup, la condition de la double incrimination ne serait pas remplie sous cet aspect. Cette opinion ne peut être partagée. Le défaut constaté n'est pas irrémédiable: il suffit que le ministère compétent forme la plainte prévue pour que les poursuites soient reprises sous cet aspect. En tout cas, le recourant ne prétend pas qu'une telle guérison de l'absence initiale de plainte serait impossible selon le droit français. De toute manière, même à supposer que le délit de vente d'armes illicite ne pourrait être pris en compte sous l'angle de la double incrimination, cela ne conduirait pas encore au rejet de la demande. En effet, contrairement à ce qui prévaut en matière d'extradition ( ATF 125 II 569 consid. 6 p. 575), il n'est pas nécessaire, dans l'entraide régie par la CEEJ, que la condition de la double incrimination soit réalisée pour chacun des chefs à raison desquels les prévenus sont poursuivis dans l'Etat requérant. En l'espèce, le recourant ne prétend pas que la demande devrait être rejetée pour tous les autres chefs d'inculpation que celui fondé sur l'art. 24 du décret-loi de 1939.</w:t>
      </w:r>
    </w:p>
    <w:p>
      <w:r>
        <w:rPr>
          <w:b/>
        </w:rPr>
        <w:t>E. 5.3</w:t>
      </w:r>
    </w:p>
    <w:p>
      <w:r>
        <w:t>Dans un deuxième moyen, le recourant allègue que la condition de la double incrimination ne serait pas remplie sous l'angle de l' art. 33 LFMG .</w:t>
      </w:r>
    </w:p>
    <w:p>
      <w:r>
        <w:rPr>
          <w:b/>
        </w:rPr>
        <w:t>E. 5.3.1</w:t>
      </w:r>
    </w:p>
    <w:p>
      <w:r>
        <w:t>La LFMG soumet à l'autorisation de la Confédération le commerce et le courtage de matériel de guerre (art. 2 let. b et c LFMG), par quoi on entend, notamment, les armes, systèmes d'armes, les munitions et les explosifs militaires ( art. 5 al. 1 let. a LFMG ). Doit être titulaire d'une autorisation initiale au sens de l' art. 9 LFMG toute personne qui a l'intention, sur le territoire suisse, de faire le commerce de matériel de guerre, pour son propre compte ou pour le compte d'autrui, ou d'en faire le courtage, à titre professionnel, pour des destinataires à l'étranger, quel que soit le lieu où se trouve le matériel en question ( art. 9 al. 1 let. b LFMG ). Une personne qui n'a pas de lieu de production de matériel de guerre en Suisse et qui veut faire le courtage d'armes de guerre pour un destinataire à l'étranger a besoin d'une autorisation de courtage initiale au sens de l' art. 9 LFMG et, pour chaque cas particulier, une autorisation spécifique ( art. 15 al. 1 LFMG ). Toute personne qui fait intentionnellement le commerce ou le courtage de matériel de guerre sans être titulaire de l'autorisation nécessaire est passible de l'emprisonnement ou de l'amende ( art. 33 al. 1 let. a LFMG ). Selon la demande, il est reproché au recourant d'avoir, depuis la France, organisé la vente d'armes (soit des blindés, des armes d'infanterie, des pièces d'artillerie et des munitions) de X.________ aux autorités angolaises, sans disposer de l'autorisation ministérielle nécessaire. Commis en Suisse, ces faits tomberaient sous le coup de l' art. 33 al. 1 let. a LFMG , mis en relation avec les art. 2 let. b et c, 5 al. 1 let. a, 9 al. 1 let. b et 15 al. 1 de la même loi. La condition de la double incrimination est remplie à cet égard.</w:t>
      </w:r>
    </w:p>
    <w:p>
      <w:r>
        <w:rPr>
          <w:b/>
        </w:rPr>
        <w:t>E. 5.3.2</w:t>
      </w:r>
    </w:p>
    <w:p>
      <w:r>
        <w:t>Sans contester ce point, le recourant invoque l' art. 46 al. 1 LFMG , à teneur duquel les activités qui ne nécessitaient pas d'autorisation en vertu de l'ancienne législation et qui ont fait l'objet d'un contrat avant l'entrée en vigueur de la LFMG (soit avant le 1er avril 1988), peuvent être poursuivies sans autorisation pendant une période transitoire de cinq ans. Même si le moyen n'est pas énoncé de manière claire, il faut comprendre par là que le recourant se prévaut du fait qu'au moment des transactions litigieuses, une autorisation au sens des art. 9 et 15 LFMG n'était pas nécessaire au regard de l' art. 46 al. 1 LFMG . Cet argument n'est pas décisif. La condition de la double incrimination s'examine, en Suisse, selon le droit en vigueur au moment où est prise la décision relative à la coopération internationale et non selon le droit en vigueur au moment de la commission des faits ( ATF 122 II 422 consid. 2a p. 424; 112 Ib 576 consid. 2 p.584). Le grief tiré de la double incrimination est ainsi mal fondé.</w:t>
      </w:r>
    </w:p>
    <w:p>
      <w:r>
        <w:rPr>
          <w:b/>
        </w:rPr>
        <w:t>E. 6</w:t>
      </w:r>
    </w:p>
    <w:p>
      <w:r>
        <w:t>Le recourant se plaint d'une violation du principe de la proportionnalité.</w:t>
      </w:r>
    </w:p>
    <w:p>
      <w:r>
        <w:rPr>
          <w:b/>
        </w:rPr>
        <w:t>E. 6.1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6.2</w:t>
      </w:r>
    </w:p>
    <w:p>
      <w:r>
        <w:t>Le recourant allègue que la motivation insuffisante de la demande entraînerait ipso facto une violation du principe de la proportionnalité. Le grief de violation des art. 14 CEEJ et 28 al. 2 EIMP ayant été rejeté (consid. 4 ci-dessus), ce premier moyen est dénué de pertinence.</w:t>
      </w:r>
    </w:p>
    <w:p>
      <w:r>
        <w:rPr>
          <w:b/>
        </w:rPr>
        <w:t>E. 6.3</w:t>
      </w:r>
    </w:p>
    <w:p>
      <w:r>
        <w:t>Pour le surplus, le recourant allègue que la décision de clôture serait disproportionnée dans la mesure où est autorisée la remise de documents portant sur une période indéterminée. La demande et ses compléments ne sont pas très précis sur l'époque des faits délictueux, puisqu'ils se bornent à indiquer que les contrats portant sur les ventes d'armes à l'Angola auraient été conclus en novembre 1993 et avril 1994. Il ressort toutefois de la demande, de manière implicite, que les détournements du produit de ces ventes auraient été effectués postérieurement, pendant une période indéterminée. Quant au trafic d'influence lié au financement des élections au Parlement européen, il aurait eu lieu jusqu'à l'époque de ces élections, soit en 1999. En fixant la mission de la Suisse, les autorités de l'Etat requérant n'ont pas fixé de limites temporelles quant aux investigations à entreprendre. La demande du 17 janvier 2001 tend à la remise de la documentation relative à tous les comptes détenus ou dominés par le recourant, sans aucune restriction. Il va de soi qu'une telle requête ne peut être admise que dans le respect du principe de la proportionnalité, tel qu'il vient d'être défini. Dans une affaire où, comme en l'espèce, les auteurs présumés de l'infraction sont soupçonnés d'en avoir caché le produit en Suisse, il est potentiellement utile aux magistrats français de connaître tous les mouvements de fonds effectués sur ces comptes, à moins qu'il ne puisse être établi, d'emblée et de manière indiscutable, que certaines opérations ne présentent aucun lien, de quelle que sorte que ce soit, avec les faits décrits dans la demande. En l'occurrence, l'enquête ouverte en France a notamment pour but de retracer le cheminement de chaque montant litigieux, lequel peut avoir emprunté de multiples détours. Dans ce type d'infraction, il est fréquent d'user d'intermédiaires, d'opérations fictives, de stratagèmes divers, précisément pour masquer l'origine véritable des fonds. Pour faire un tableau exact et complet de ces mouvements souvent complexes et tortueux, il est nécessaire d'investiguer en amont et en aval du complexe de faits, à la période précédant et suivant immédiatement ceux-ci. Cela justifie de remettre l'intégralité de la documentation concernant les comptes du recourant. Celui-ci ne développe au demeurant aucun argument commandant d'agir différemment.</w:t>
      </w:r>
    </w:p>
    <w:p>
      <w:r>
        <w:rPr>
          <w:b/>
        </w:rPr>
        <w:t>E. 7</w:t>
      </w:r>
    </w:p>
    <w:p>
      <w:r>
        <w:t>Le recourant invoque le principe de la spécialité.</w:t>
      </w:r>
    </w:p>
    <w:p>
      <w:r>
        <w:rPr>
          <w:b/>
        </w:rPr>
        <w:t>E. 7.1</w:t>
      </w:r>
    </w:p>
    <w:p>
      <w:r>
        <w:t>Selon l' art. 67 al. 1 EIMP et la réserve faite par la Suisse à l' art. 2 let. b CEEJ ,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 art. 3 EIMP et 2 let. a CEEJ; ATF 126 II 316 consid. 2b p. 319; 125 II 258 consid. 7a/aa p. 260/261; 124 II 184 consid, 4b p. 187, et les arrêts cités). Il va de soi que les Etats liés par la CEEJ se conforment à leurs engagements internationaux, tels le respect de la règle de la spécialité, sans qu'il soit nécessaire de le leur faire préciser dans une déclaration expresse ( ATF 115 Ib 373 consid. 8 p. 377; 107 Ib 64 consid. 4b p. 272, et les arrêts cités).</w:t>
      </w:r>
    </w:p>
    <w:p>
      <w:r>
        <w:rPr>
          <w:b/>
        </w:rPr>
        <w:t>E. 7.2</w:t>
      </w:r>
    </w:p>
    <w:p>
      <w:r>
        <w:t>Contrairement à ce qu'affirme le recourant, la procédure ouverte en France ne vise pas, en premier lieu, à la poursuite d'un délit fiscal pour lequel l'entraide ne peut être accordée (cf. art. 3 al. 3 EIMP et la réserve suisse à l' art. 2 let. b CEEJ ). L'infraction à la législation fiscale française, liée au défaut de déclaration de revenus, n'est qu'un élément accessoire de la prévention de vente illicite d'armes, de détournement de fonds et de blanchiment d'argent. Dans les considérants de la décision de clôture du 5 juin 2001, le Juge d'instruction a indiqué le principe de la spécialité et sa portée concrète, que la Chambre d'accusation a pris le soin de faire rappeler dans le dispositif de cette décision. Toutes les précautions ont ainsi été prises pour prévenir le danger que redoute le recourant.</w:t>
      </w:r>
    </w:p>
    <w:p>
      <w:r>
        <w:rPr>
          <w:b/>
        </w:rPr>
        <w:t>E. 8</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