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1A.214/2003 vom 5. Dezember 2003</w:t>
      </w:r>
    </w:p>
    <w:p>
      <w:r>
        <w:t>Bundesgericht, 2003-12-05, FR</w:t>
      </w:r>
    </w:p>
    <w:p>
      <w:r>
        <w:rPr>
          <w:b/>
        </w:rPr>
        <w:t xml:space="preserve">Quelle: </w:t>
      </w:r>
      <w:r>
        <w:t>https://mcp.opencaselaw.ch/entscheid/bger_1A.214_2003</w:t>
      </w:r>
    </w:p>
    <w:p>
      <w:r>
        <w:t>FR: TF 1A.214/2003 du 5 décembre 2003</w:t>
      </w:r>
    </w:p>
    <w:p>
      <w:r>
        <w:t>IT: TF 1A.214/2003 del 5 dicembre 2003</w:t>
      </w:r>
    </w:p>
    <w:p>
      <w:pPr>
        <w:pStyle w:val="Heading2"/>
      </w:pPr>
      <w:r>
        <w:t>Regeste</w:t>
      </w:r>
    </w:p>
    <w:p>
      <w:r>
        <w:t>Entraide et extradition</w:t>
      </w:r>
    </w:p>
    <w:p>
      <w:pPr>
        <w:pStyle w:val="Heading2"/>
      </w:pPr>
      <w:r>
        <w:t>Erwägungen</w:t>
      </w:r>
    </w:p>
    <w:p>
      <w:r>
        <w:rPr>
          <w:b/>
        </w:rPr>
        <w:t>E. 1.1</w:t>
      </w:r>
    </w:p>
    <w:p>
      <w:r>
        <w:t>Les dispositions de la CEEJ et de l'Accord complémentaire l'emportent sur le droit autonome qui régit la matière, soit en l'occurrence l'EIMP et l'OEIMP. Celles-ci restent applicables aux questions non réglées, explicitement ou implicitement, par le droit conventionnel, et lorsqu'elles sont plus favorables à l'entraide ( ATF 123 II 134 consid. 1a p. 136; 122 II 140 consid. 2 p. 142; 120 Ib 120 consid. 1a p. 122/123, 189 consid. 2a p. 191/192, et les arrêts cités). Le respect des droits fondamentaux est réservé ( ATF 123 II 595 consid. 7c p. 617).</w:t>
      </w:r>
    </w:p>
    <w:p>
      <w:r>
        <w:rPr>
          <w:b/>
        </w:rPr>
        <w:t>E. 1.2</w:t>
      </w:r>
    </w:p>
    <w:p>
      <w:r>
        <w:t>La décision ordonnant la transmission de la documentation bancaire à l'Etat requérant est attaquable par la voie du recours de droit administratif (cf. art. 25 al. 1 EIMP ), qui est ouverte, simultanément contre la décision de clôture et les décisions incidentes antérieures ( ATF 125 II 356 consid. 5c p. 363).</w:t>
      </w:r>
    </w:p>
    <w:p>
      <w:r>
        <w:rPr>
          <w:b/>
        </w:rPr>
        <w:t>E. 1.3</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w:t>
      </w:r>
    </w:p>
    <w:p>
      <w:r>
        <w:rPr>
          <w:b/>
        </w:rPr>
        <w:t>E. 1.4</w:t>
      </w:r>
    </w:p>
    <w:p>
      <w:r>
        <w:t>Selon l' art. 80h let. b EIMP , mis en relation avec l' art. 9a let. a OEIMP , les recourantes ont qualité pour agir contre la transmission de la documentation relative aux comptes dont elles sont les titulaires ( ATF 127 II 198 consid 2d p. 205; 126 II 258 consid. 2d/aa p. 260; 125 II 356 consid. 3b/bb p. 362, et les arrêts cités).</w:t>
      </w:r>
    </w:p>
    <w:p>
      <w:r>
        <w:rPr>
          <w:b/>
        </w:rPr>
        <w:t>E. 1.5</w:t>
      </w:r>
    </w:p>
    <w:p>
      <w:r>
        <w:t>La transmission de la pièce extraite de la documentation relative au compte n°2 a d'ores et déjà été confirmée à la suite du rejet du recours de droit administratif formé par R.________ contre une décision de clôture rendue parallèlement dans la même procédure (cause 1A.213/ 2003). En tant qu'il est formé par R.________, le présent recours a perdu son objet.</w:t>
      </w:r>
    </w:p>
    <w:p>
      <w:r>
        <w:rPr>
          <w:b/>
        </w:rPr>
        <w:t>E. 1.6</w:t>
      </w:r>
    </w:p>
    <w:p>
      <w:r>
        <w:t>Dans les domaines qui, comme en l'espèce, relèvent de la juridiction administrative fédérale, comme la coopération judiciaire en matière pénale, le recours de droit administratif permet aussi de soulever le grief de la violation des droits constitutionnels, en relation avec l'application du droit fédéral ( ATF 124 II 132 consid. 2a p. 137, et les arrêts cités).</w:t>
      </w:r>
    </w:p>
    <w:p>
      <w:r>
        <w:rPr>
          <w:b/>
        </w:rPr>
        <w:t>E. 2</w:t>
      </w:r>
    </w:p>
    <w:p>
      <w:r>
        <w:t>Les recourantes soutiennent que la demande ne respecterait pas les exigences formelles posées par les art. 14 CEEJ et 28 EIMP.</w:t>
      </w:r>
    </w:p>
    <w:p>
      <w:r>
        <w:rPr>
          <w:b/>
        </w:rPr>
        <w:t>E. 2.1</w:t>
      </w:r>
    </w:p>
    <w:p>
      <w:r>
        <w:t>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et la désignation aussi précise et complète que possible de la personne poursuivie ( art. 14 al. 1 let . c CEEJ et 28 al. 2 let. d EIMP). Les indications fournies à ce titre doivent simplement suffire pour vérifier que la demande n'est pas d'emblée inadmissible ( ATF 116 Ib 96 consid. 3a p. 101; 115 Ib 68 consid. 3b/aa p. 77). Lorsque la demande tend, comme en l'espèce, à la remise de documents bancaires, l'Etat requérant ne peut se borner à communiquer une liste des personnes recherchées et des sommes qui auraient été détournées; il lui faut joindre à la demande des éléments permettant de déterminer, de manière minimale, que les comptes en question ont été utilisés dans le déroulement des opérations délictueuses poursuivies dans l'Etat requérant.</w:t>
      </w:r>
    </w:p>
    <w:p>
      <w:r>
        <w:rPr>
          <w:b/>
        </w:rPr>
        <w:t>E. 2.2</w:t>
      </w:r>
    </w:p>
    <w:p>
      <w:r>
        <w:t>Les recourantes exposent que la demande du 11 juillet 2002 et son complément du 23 septembre suivant ne mentionnent pas I.________, H.________ et P.________, dont il serait partant impossible de discerner l'implication dans la procédure pénale ouverte en Allemagne. Ce fait s'explique par la particularité du cas où, comme en l'espèce, un représentant de l'Etat requérant est autorisé à participer à l'exécution de la demande. Le Procureur Carl, examinant avec le Juge d'instruction le dossier de la procédure P/12983/99, y a découvert des pièces en relation avec les faits poursuivis en Allemagne, et dont il ignorait jusque là l'existence. On ne saurait dès lors reprocher aux autorités de l'Etat requérant de n'avoir pas mentionné dans la demande initiale du 11 juillet 2002 des faits, des documents et des personnes morales qui leur étaient inconnus. Quant au complément du 23 septembre 2002, il se borne à demander la remise des documents inspectés par le Procureur Carl, sans aucune indication quant à leur lien avec la procédure ouverte en Allemagne. Eu égard aux circonstances de l'espèce, les autorités de l'Etat requérant n'avaient toutefois pas de motifs de préciser le rôle joué par les recourantes dans l'affaire, ni l'importance pour celle-ci des documents réclamés, puisque ces éléments avaient précisément été dévoilés lors de l'examen du dossier de la procédure P/12983/99. Des explications exhaustives à ce sujet auraient été parfaitement inutiles pour l'autorité suisse d'exécution, qui connaissait la documentation à transmettre. Les prescriptions de forme des art. 14 CEEJ et 28 EIMP ont pour but de protéger, en première ligne, les intérêts de l'Etat requérant. En l'occurrence, l'Office fédéral savait parfaitement à quoi s'en tenir au moment de décider. Quant aux recourantes, elle n'ont pu se méprendre sur la portée de la demande et de son complément, notamment lorsqu'elles ont été invitées à se prononcer sur une éventuelle remise simplifiée de la documentation saisie.</w:t>
      </w:r>
    </w:p>
    <w:p>
      <w:r>
        <w:rPr>
          <w:b/>
        </w:rPr>
        <w:t>E. 3</w:t>
      </w:r>
    </w:p>
    <w:p>
      <w:r>
        <w:t>Les recourantes reprochent à l'Office fédéral de ne pas leur avoir notifié immédiatement sa décision d'entrée en matière et d'avoir communiqué celle-ci à l'autorité requérante.</w:t>
      </w:r>
    </w:p>
    <w:p>
      <w:r>
        <w:rPr>
          <w:b/>
        </w:rPr>
        <w:t>E. 3.1</w:t>
      </w:r>
    </w:p>
    <w:p>
      <w:r>
        <w:t>Le droit du particulier de recevoir la décision qui le concerne découle de son droit d'être entendu ( ATF 124 II 124 consid. 2a p. 127; 107 Ib 170 consid. 3 p. 175/176, et les arrêts cités). En application de ce principe, l'autorité d'exécution notifie ses décisions à l'ayant droit résidant à l'étranger qui a élu domicile en Suisse ( art. 80m al. 1 let. b EIMP ). La décision du 20 août 2002 confie au Juge d'instruction la tâche de procéder, avec l'aide d'un représentant de l'autorité de poursuite étrangère, au tri des pièces contenues dans le dossier de la procédure pénale interne, en vue de repérer celles qui présenteraient un lien avec les faits décrits dans la demande d'entraide. Compte tenu de ce que le cercle des personnes touchées par l'exécution de cette tâche était indéterminé, l'Office fédéral a décidé de différer la notification de la décision d'entrée et d'y procéder conjointement avec la décision de clôture. Lorsque l'objet des mesures requises est défini de manière aussi générale qu'en l'espèce, l'autorité d'exécution n'est pas en mesure de désigner exactement à l'avance les personnes touchées. Il n'était de surcroît guère envisageable de notifier la décision d'entrée en matière aux nombreuses personnes (physiques et morales) parties à la procédure P/12983/99. De ce point de vue, le choix opéré par l'Office fédéral paraît raisonnable. R.________ objecte toutefois qu'elle est citée nommément dans la demande du 11 juillet 2002. L'Office fédéral connaissait son implication dans les péripéties précédentes de l'affaire Abacha en Suisse, où elle avait élu domicile auprès de son mandataire genevois. Sachant cela, l'Office fédéral aurait dû lui notifier sa décision du 20 août 2002. Cet argument, non dénué de poids, n'est cependant pas déterminant. Le 21 août 2002, l'Office fédéral a pris la précaution de prévenir tout risque d'utilisation intempestive des renseignements obtenus par le Procureur Carl lors du tri des pièces effectué avec le concours du Juge d'instruction. Il convient de considérer en outre que si des tiers avaient été touchés, il aurait fallu procéder à plusieurs notifications espacées dans le temps, ce qui aurait pu créer des incertitudes et nuire à la sécurité du droit. Quoi qu'il en soit, la solution retenue par l'Office fédéral, critiquable, n'a de toute manière pas porté à conséquence, puisqu'aucune information n'a été divulguée prématurément, ni R.________ empêchée d'agir. Les autres recourantes ne sauraient reprocher à l'Office fédéral de ne pas leur avoir notifié la décision d'entrée en matière, puisqu'au moment du prononcé de celle-ci, leur implication dans l'exécution de la demande n'était pas encore connue.</w:t>
      </w:r>
    </w:p>
    <w:p>
      <w:r>
        <w:rPr>
          <w:b/>
        </w:rPr>
        <w:t>E. 3.2</w:t>
      </w:r>
    </w:p>
    <w:p>
      <w:r>
        <w:t>Hormis des exceptions non réalisées en l'espèce, l'Etat requérant n'est pas partie à la procédure d'entraide. Il n'a pas à recevoir les décisions rendues par les autorités d'exécution et de recours (cf. l'arrêt 1A.43/2003 consid. 3.2). L'Office fédéral a méconnu cette règle en communiquant sa décision du 20 août 2002 à l'autorité requérante, défaut qu'il devra corriger pour ce qui concerne la notification de la décision de clôture, une fois celle-ci entrée en force. Cela étant, les recourantes ne peuvent pas prétendre avoir subi un quelconque préjudice à cet égard. La décision du 20 août 2002 ne renferme rien que les autorités allemandes ne savaient déjà au moment où elles l'ont reçue.</w:t>
      </w:r>
    </w:p>
    <w:p>
      <w:r>
        <w:rPr>
          <w:b/>
        </w:rPr>
        <w:t>E. 4</w:t>
      </w:r>
    </w:p>
    <w:p>
      <w:r>
        <w:t>Les recourantes prétendent que la condition de la double incrimination ne serait pas remplie.</w:t>
      </w:r>
    </w:p>
    <w:p>
      <w:r>
        <w:rPr>
          <w:b/>
        </w:rPr>
        <w:t>E. 4.1</w:t>
      </w:r>
    </w:p>
    <w:p>
      <w:r>
        <w:t>Selon l' art. 5 al. 1 let. a CEEJ , applicable en vertu de la réserve émise par la Suisse, l'exécution d'une commission rogatoire aux fins de perquisition ou de saisie d'objets est subordonnée à la condition que l'infraction poursuivie dans l'Etat requérant soit punissable selon la loi de cet Etat et de la Partie requise. L'examen de la punissabilité selon le droit suisse comprend, par analogie avec l' art. 35 al. 2 EIMP applicable en matière d'extradition, les éléments constitutifs objectifs de l'infraction, à l'exclusion des conditions particulières du droit suisse en matière de culpabilité et de répression (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 En règle générale, l'Etat requis ne peut se prononcer sur la réalité des faits qui y sont invoqués, mais seulement en vérifier la punissabilité. Des preuves ne sont pas nécessaires et il n'est pas toujours possible d'exiger de l'Etat requérant un exposé absolument complet des faits; la collaboration internationale de la Suisse ne peut être refusée que si la demande présente des erreurs, des lacunes ou des contradictions manifestes ( ATF 118 Ib 111 consid. 5b p. 121/122; 117 Ib 64 consid. 5c p. 88, et les arrêts cités).</w:t>
      </w:r>
    </w:p>
    <w:p>
      <w:r>
        <w:rPr>
          <w:b/>
        </w:rPr>
        <w:t>E. 4.2</w:t>
      </w:r>
    </w:p>
    <w:p>
      <w:r>
        <w:t>Selon l'exposé des faits présenté à l'appui de la demande du 11 juillet 2002, les prévenus auraient, sous couvert de contre-prestations fictives qui ont fait l'objet de fausses factures, reversé à Abacha et ses proches des montants importants payés par N.________ pour l'exécution du contrat conclu le 17 octobre 1989. En cela, ils auraient aidé Abacha à commettre des abus de confiance au détriment de N.________. Pour l'Office fédéral, ces faits seraient assimilables aux chefs d'acceptation d'avantage ( art. 322sexies CP ) et de corruption active d'agents publics étrangers ( art. 322septies CP ). Cette dernière disposition sur laquelle se fonde la réponse du 27 octobre 2003, a la teneur suivante: "Celui qui aura offert, promis ou octroyé un avantage indu à une personne agissant pour un Etat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 sera puni de la réclusion pour cinq ans ou plus ou de l'emprisonnement". L'Office fédéral semble considérer que les prévenus auraient versé des pots-de-vin à Abacha et ses complices, en échange de la poursuite du projet qui a donné lieu au contrat du 17 octobre 1989. Sous l'angle de l' art. 322septies CP , cette conception soulève un certain nombre de difficultés. Les actes reprochés à Abacha n'ont pas été commis directement dans l'exercice de ses fonctions officielles de chef d'Etat. Il ressort en effet de la demande d'entraide que celui-ci serait intervenu dans la conduite des affaires de N.________ comme entreprise privée dont la majorité du capital est détenu par la République fédérale. Si l'on peut encore à la rigueur admettre qu'à ce titre le rôle d'Abacha est assimilable à celui d'un agent public étranger, il est douteux en revanche que son action dans la gestion de N.________ entrait dans le cadre de ses fonctions officielles. A cela s'ajoute que les prévenus n'ont pas spontanément offert, promis ou octroyé à Abacha un avantage indu au sens de l' art. 322septies CP . Ils ont agi en faveur d'Abacha, mais à sa demande. Cela aurait consisté pour eux à présenter de fausses factures se rapportant à des prestations fictives, en obtenir le paiement par N.________, pour reverser ensuite les montants à des personnes morales dominées par Abacha. Un tel comportement paraît difficilement assimilable au délit réprimé par l' art. 322septies CP . Cette question souffre toutefois de rester indécise, car la condition de la double incrimination est de toute manière réalisée au regard de l' art. 158 CP réprimant la gestion déloyale.</w:t>
      </w:r>
    </w:p>
    <w:p>
      <w:r>
        <w:rPr>
          <w:b/>
        </w:rPr>
        <w:t>E. 4.3</w:t>
      </w:r>
    </w:p>
    <w:p>
      <w:r>
        <w:t>Il ne fait guère de doute qu'au regard de la situation prévalant au Nigeria sous le gouvernement d'Abacha, celui-ci disposait des moyens d'interférer dans la gestion des entreprises publiques et, comme en l'espèce, semi-publiques. Il détenait ainsi sur les biens de N.________ un pouvoir de disposition effectif (cf. ATF 123 IV 17 consid. 3b; 120 IV 190 consid. 2b p. 192/193; 118 IV 244 consid. 2b p. 246/247). En faisant dépendre la bonne exécution du contrat du 17 octobre 1989 du versement en sa faveur de pots-de-vin, Abacha est intervenu dans la gestion de N.________ au détriment des intérêts de celle-ci, en violation de son devoir de fidélité (cf. ATF 120 IV 190 consid. 2b p. 193). Il est en effet présupposé que le montant des versements effectués par N.________ à F.________ au profit d'Abacha et de ses complices a ou bien été compris dans le prix convenu de 2,4 milliards DEM ou bien, plus vraisemblablement, ajouté à celui-ci, lésant ainsi, dans un cas comme dans l'autre, le patrimoine de N.________. Abacha a pu faire pression sur les dirigeants de F.________ parce qu'il disposait des moyens de suspendre ou de retarder l'exécution du contrat, voire amener N.________ à s'en départir. Peu importe qu'Abacha ait agi en vertu de la loi, d'un mandat officiel ou d'un acte juridique, puisque le gérant d'affaires sans mandat tombe aussi sous le coup de la gestion déloyale selon l' art. 158 ch. 1 al. 2 CP . C'est d'ailleurs sur un terrain analogue que se sont placées les autorités de l'Etat étranger en ouvrant l'action pénale du chef d'"Untreue" au sens de l'art. 266 dStGB, incrimination correspondant à celle de gestion déloyale au sens de l' art. 158 CP ( ATF 104 Ia 49 consid. 3 p. 52/53; cf. aussi l'arrêt 1A.84/1991 du 27 octobre 1993, consid. 2b/cc).</w:t>
      </w:r>
    </w:p>
    <w:p>
      <w:r>
        <w:rPr>
          <w:b/>
        </w:rPr>
        <w:t>E. 5</w:t>
      </w:r>
    </w:p>
    <w:p>
      <w:r>
        <w:t>Les recourantes se plaignent de la violation du principe de la proportionnalité.</w:t>
      </w:r>
    </w:p>
    <w:p>
      <w:r>
        <w:rPr>
          <w:b/>
        </w:rPr>
        <w:t>E. 5.1</w:t>
      </w:r>
    </w:p>
    <w:p>
      <w:r>
        <w:t>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5.2</w:t>
      </w:r>
    </w:p>
    <w:p>
      <w:r>
        <w:t>Dans un premier moyen, les recourantes reprochent à l'Office fédéral de n'avoir pas procédé au tri des pièces à transmettre. Pour effectuer le tri des documents et informations recueillis, l'autorité d'exécution s'appuie sur le détenteur ( ATF 127 II 151 consid. 4c/aa p. 155/156; 126 II 258 consid. 9b/aa p. 262). Il incombe à celui-ci, qui connaît le contenu des documents saisis, d'indiquer à l'autorité d'exécution les pièces qu'il n'y aurait pas lieu de transmettre, ainsi que les motifs précis qui commanderaient d'agir de la sorte ( ATF 126 II 258 consid. 9c p. 264). Il ne lui suffit pas d'affirmer péremptoirement qu'une pièce est sans rapport avec l'affaire; une telle assertion doit être étayée avec soin ( ATF 126 II 258 consid. 9c p. 264). Est incompatible avec le principe de la bonne foi le procédé consistant à abandonner le tri des pièces à l'autorité d'exécution, sans lui prêter son concours, pour lui reprocher après coup d'avoir méconnu le principe de la proportionnalité ( ATF 126 II 258 consid. 9b/aa p. 262). Le droit d'être entendu se dédouble ainsi en un devoir de coopération, dont l'inobservation est punie par le fait que le détenteur ne peut plus soulever devant l'autorité de recours les arguments qu'il aurait négligé de soumettre à l'autorité d'exécution ( ATF 126 II 258 consid. 9b p. 262-264). Le 8 juillet 2003, l'Office fédéral a demandé aux recourantes de se déterminer sur une éventuelle remise simplifiée des documents les concernant, ce qu'elles ont refusé. Contrairement à ce que soutient l'Office fédéral, les recourantes n'avaient pas à supposer qu'elles étaient invitées, simultanément et de manière implicite, à se prononcer sur le tri des pièces. L'Office fédéral aurait dû adresser aux recourantes une injonction précise à ce sujet, avec l'avertissement qu'à défaut de prise de position dans le délai prescrit, il procéderait seul à ce tri. Le vice affectant la procédure peut cependant être considéré comme réparé, car les recourantes s'opposent uniquement à la transmission des pièces antérieures au 14 janvier 1997, grief qui doit de toute manière être écarté (consid. 5.4 ci-dessous).</w:t>
      </w:r>
    </w:p>
    <w:p>
      <w:r>
        <w:rPr>
          <w:b/>
        </w:rPr>
        <w:t>E. 5.3</w:t>
      </w:r>
    </w:p>
    <w:p>
      <w:r>
        <w:t>Dans un deuxième moyen, les recourantes s'en prennent à la décision d'entrée en matière, en tant qu'elle a autorisé la présence d'un représentant de l'Etat requérant lors du tri des pièces. Or, l'art. 65a al. 2 prévoit expressément une telle participation, lorsqu'elle est de nature à faciliter l'exécution de la demande. Tel était bien le cas en l'espèce. Dès lors que des fonds d'origine suspecte avaient été acheminés sur les comptes des recourantes, les autorités allemandes avaient un intérêt manifeste à prendre connaissance de la documentation y relative. Cela justifiait d'autoriser un représentant de l'autorité de poursuite étrangère à participer à l'exécution des mesures requises. Pour le surplus, l'affirmation selon laquelle les autorités d'exécution auraient abandonné le tri des pièces au représentant de l'Etat requérant est gratuite. Le Procureur Carl a assisté à l'examen du dossier de la procédure P/12983/99 sous la direction du Juge d'instruction. L'Office fédéral comme autorité d'exécution a eu l'occasion de vérifier le contenu des pièces triées avant d'ordonner leur transmission à l'Etat requérant.</w:t>
      </w:r>
    </w:p>
    <w:p>
      <w:r>
        <w:rPr>
          <w:b/>
        </w:rPr>
        <w:t>E. 5.4</w:t>
      </w:r>
    </w:p>
    <w:p>
      <w:r>
        <w:t>Les recourantes font valoir qu'il n'y aurait pas lieu de transmettre les pièces antérieures au 14 janvier 1997, puisque tous les délits commis avant cette date seraient prescrits. Supposé recevable, ce troisième moyen devrait être écarté. Selon la demande, F.________ a effectué des versements suspects entre le 17 novembre 1994 et le 9 juin 1998. Le compte n°3 a été ouvert le 12 janvier 1998, le compte n°4 le 9 août 1996. Indépendamment du délai de prescription, les autorités allemandes doivent examiner tous les mouvements de fonds opérés sur le compte pendant la période critique (soit en l'occurrence, celle allant du 18 septembre 1996 au 9 juin 1998), pour prouver les virements litigieux. Il leur est aussi nécessaire de connaître les mouvements postérieurs au 9 juin 1998, afin de déterminer le sort ultérieur des fonds. L'intégralité de la documentation saisie doit partant être remise.</w:t>
      </w:r>
    </w:p>
    <w:p>
      <w:r>
        <w:rPr>
          <w:b/>
        </w:rPr>
        <w:t>E. 6</w:t>
      </w:r>
    </w:p>
    <w:p>
      <w:r>
        <w:t>Le recours doit ainsi être rejeté. Les frais en sont mis à la charge des recourantes ( art. 156 OJ ). Il n'est pas alloué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