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1A.207/2003 vom 11. November 2003</w:t>
      </w:r>
    </w:p>
    <w:p>
      <w:r>
        <w:t>Bundesgericht, 2003-11-11, FR</w:t>
      </w:r>
    </w:p>
    <w:p>
      <w:r>
        <w:rPr>
          <w:b/>
        </w:rPr>
        <w:t xml:space="preserve">Quelle: </w:t>
      </w:r>
      <w:r>
        <w:t>https://mcp.opencaselaw.ch/entscheid/bger_1A.207_2003</w:t>
      </w:r>
    </w:p>
    <w:p>
      <w:r>
        <w:t>FR: TF 1A.207/2003 du 11 novembre 2003</w:t>
      </w:r>
    </w:p>
    <w:p>
      <w:r>
        <w:t>IT: TF 1A.207/2003 del 11 novembre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rendue par l'autorité fédérale d'exécution, le recours de droit administratif est en soi recevable (art. 80g al. 1 de la loi fédérale sur l'entraide internationale en matière pénale - EIMP; RS 351.1).</w:t>
      </w:r>
    </w:p>
    <w:p>
      <w:r>
        <w:rPr>
          <w:b/>
        </w:rPr>
        <w:t>E. 1.1</w:t>
      </w:r>
    </w:p>
    <w:p>
      <w:r>
        <w:t>Selon l' art. 80h let. b EIMP , la qualité pour agir contre une mesure d'entraide judiciaire est reconnue à celui qui est personnellement et directement touché. La personne visée par la procédure pénale étrangère peut recourir aux mêmes conditions ( art. 21 al. 3 EIMP ). La jurisprudence reconnaît ainsi notamment la qualité pour recourir au titulaire d'un compte bancaire dont les pièces sont saisies ( ATF 118 Ib 547 consid. 1d et les arrêts cités), et à la personne qui doit se soumettre personnellement à une perquisition ou une saisie (ATF 118 1b 442 consid. 2c - concernant la saisie de documents en main d'une banque -, ATF 121 II 38 - remise du dossier d'une procédure civile à laquelle l'intéressé est partie). L' art. 9a let. b OEIMP précise ainsi qu'en cas de perquisition, la qualité pour recourir appartient au propriétaire ou au locataire des locaux. Elle dénie en revanche cette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w:t>
      </w:r>
    </w:p>
    <w:p>
      <w:r>
        <w:rPr>
          <w:b/>
        </w:rPr>
        <w:t>E. 1.2</w:t>
      </w:r>
    </w:p>
    <w:p>
      <w:r>
        <w:t>La perquisition du 12 novembre 2002 a été menée au siège de A.________ SA, laquelle a qualité pour recourir. Y.________, administrateur unique et gérant de cette société, a également qualité pour agir en tant qu'utilisateur principal des locaux. Selon les indications figurant dans le recours, à l'exception de B.________ SA (qui est aussi, selon les indications figurant en p. 15 et 18 du recours, propriétaire des locaux et peut, à ce titre se voir reconnaître le qualité pour agir), les autres sociétés n'ont pas leur siège à l'adresse où a eu lieu la perquisition; elles ne sont ni propriétaires, ni locataires des locaux, et on ignore la manière dont ces sociétés sont gérées, en particulier si les bureaux de A.________ SA doivent être considérés comme le centre de leurs activités. La question peut demeurer indécise, compte tenu du sort du recours sur le fond. En tous les cas, le recours est irrecevable en tant qu'il émane de D.________ SA car, comme l'indique la DGD dans sa réponse, les pièces qui la concernent ont été saisies par la police fédérale en exécution d'une demande d'entraide judiciaire italienne, et ne font pas l'objet de la décision de clôture attaquée.</w:t>
      </w:r>
    </w:p>
    <w:p>
      <w:r>
        <w:rPr>
          <w:b/>
        </w:rPr>
        <w:t>E. 2</w:t>
      </w:r>
    </w:p>
    <w:p>
      <w:r>
        <w:t>Les recourants mettent en doute la compétence de l'autorité requérante pour réprimer les infractions mentionnées. Il n'est pas prétendu que X.________ et les autres personnes mentionnées aient agi en Allemagne. La contrebande aurait eu lieu vers l'Italie.</w:t>
      </w:r>
    </w:p>
    <w:p>
      <w:r>
        <w:rPr>
          <w:b/>
        </w:rPr>
        <w:t>E. 2.1</w:t>
      </w:r>
    </w:p>
    <w:p>
      <w:r>
        <w:t>Selon la jurisprudence constante,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caractéristique, que l'entraide peut être refusée ( ATF 126 II 212 consid. 6c/bb p. 215-216; 116 Ib 89 consid. 2c/aa p. 92 et la jurisprudence citée).</w:t>
      </w:r>
    </w:p>
    <w:p>
      <w:r>
        <w:rPr>
          <w:b/>
        </w:rPr>
        <w:t>E. 2.2</w:t>
      </w:r>
    </w:p>
    <w:p>
      <w:r>
        <w:t>Les autorités d'Augsbourg mènent leur enquête relative au trafic de cigarettes depuis de nombreuses années, et rien ne permet de douter que, compte tenu de la nationalité des prévenus, du domicile de certains d'entre eux et de la perte vraisemblablement subie par le fisc, notamment allemand, il existe un rattachement suffisant pour justifier la compétence des autorités de l'Etat requérant. Cela ne ressort certes pas clairement des requêtes complémentaires, mais, la demande initiale, à laquelle la DGD fait référence, expose qu'une partie des cigarettes aurait abouti en Italie, et aurait été réintroduite sur le marché européen, en particulier en Angleterre, en Espagne et en Allemagne. On ne se trouve donc pas dans un cas où la compétence répressive de l'Etat requérant ferait clairement défaut.</w:t>
      </w:r>
    </w:p>
    <w:p>
      <w:r>
        <w:rPr>
          <w:b/>
        </w:rPr>
        <w:t>E. 3</w:t>
      </w:r>
    </w:p>
    <w:p>
      <w:r>
        <w:t>Les recourants persistent ensuite à considérer que la demande d'entraide serait insuffisamment motivée, et qu'un cas d'escroquerie fiscale ne serait pas avéré, compte tenu du pouvoir d'examen accru de l'autorité suisse dans ce domaine. L'évocation d'un trafic de cigarettes assorti d'une simple évasion fiscale ne justifierait pas l'octroi de l'entraide judiciaire. Le caractère illicite du commerce de cigarettes ne serait pas démontré. La double incrimination ferait également défaut à propos des infractions douanières, s'agissant de transferts de port-franc à port-franc; les ordonnances fédérales du 3 juin 1992 et du 3 octobre 1994 concernant les mesures économiques à l'égard de l'ex-Yougoslavie ont été abrogées avant qu'il soit statué sur l'octroi de l'entraide.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ATF 129 II 97 consid. 3.1 p. 98-99).</w:t>
      </w:r>
    </w:p>
    <w:p>
      <w:r>
        <w:rPr>
          <w:b/>
        </w:rPr>
        <w:t>E. 3.2</w:t>
      </w:r>
    </w:p>
    <w:p>
      <w:r>
        <w:t>En l'espèce, les deux compléments adressés successivement à l'OFJ ne comprennent pas d'exposé détaillé des faits. En revanche, le mandat de perquisition annexé reprend dans le détail les faits tels qu'ils figuraient dans la demande initiale. Les inculpés se voient ainsi reprocher un trafic de cigarettes, dont le déroulement est décrit de manière relativement détaillée. Le reconditionnement de la marchandise, l'intervention de nombreux intermédiaires, l'usage de faux documents et un transport clandestin et rapide par bateaux auraient permis de réintroduire la marchandise sur le marché noir européen, et d'améliorer la situation économique en Serbie-Monténégro, alors frappée d'embargo. Les liens présumés de X.________ avec les prévenus sont, eux aussi, exposés de manière suffisante.</w:t>
      </w:r>
    </w:p>
    <w:p>
      <w:r>
        <w:rPr>
          <w:b/>
        </w:rPr>
        <w:t>E. 3.3</w:t>
      </w:r>
    </w:p>
    <w:p>
      <w:r>
        <w:t>En ce qui concerne l'escroquerie fiscale et le principe de la double incrimination, ces questions ont déjà été examinées par le Tribunal fédéral dans son arrêt du 27 novembre 2000, mentionné à plusieurs reprises par la DGD au cours de la procédure. Le Tribunal fédéral a en particulier considéré que l'intervention de nombreuses sociétés de divers pays, les déplacements de marchandises et l'usage de fausses factures et documents douaniers, avaient permis de donner l'illusion d'un transport régulier à destination de la Bulgarie et de camoufler le retour de la marchandise en Europe. Cette construction sophistiquée destinée à tromper, à plusieurs reprises, les autorités douanières des Etats européens, était constitutive d'astuce (consid. 4c). L'arrêt précité considère également que le transport de cigarettes à destination du Monténégro serait constitutif, en droit suisse, de trafic prohibé (art. 76 de la loi fédérale sur les douanes - LD; RS 631.0), compte tenu des dispositions relatives à l'embargo contre la Yougoslavie (art. 4 de l'ordonnance du 3 octobre 1994 instituant des mesures économiques à l'encontre de la Yougoslavie [Serbie et Monténégro] et d'autres régions contrôlées par les Serbes, et art. 3 de l'ordonnance du 3 juin 1992 instituant des sanctions économiques à l'encontre de la Yougoslavie [Serbie et Monténégro], ainsi que les renvois de ces ordonnances aux sanctions pénales de la LD). Les objections présentées par les recourants ne sont pas propres à remettre en cause cette appréciation. En particulier, les actes poursuivis ont été commis alors que les ordonnances précitées étaient en vigueur; même si les restrictions d'importation ont été par la suite rapportées, les dispositions pénales des art. 76-77 LD , n'en demeureraient pas moins applicables si les infractions étaient actuellement soumises à la juridiction suisse.</w:t>
      </w:r>
    </w:p>
    <w:p>
      <w:r>
        <w:rPr>
          <w:b/>
        </w:rPr>
        <w:t>E. 4</w:t>
      </w:r>
    </w:p>
    <w:p>
      <w:r>
        <w:t>Les recourants estiment également que les dispositions prévues dans l'ordonnance d'entrée en matière à propos de la présence d'enquêteurs étrangers n'auraient pas été respectées. Des fonctionnaires allemands avaient participé à la perquisition du 12 novembre 2002 et, le 20 novembre suivant, le Procureur allemand avait déclaré s'intéresser également aux sociétés C.________ SA, M.________ et E.________ SA, alors que celles-ci ne figurent pas dans la demande. Il y aurait ainsi eu transmission prématurée de renseignements. Les recourants ne précisent toutefois pas si l'irrégularité alléguée devrait conduire au refus de l'entraide, ou à une intervention auprès de l'autorité requérante. Le grief doit de toute manière être écarté.</w:t>
      </w:r>
    </w:p>
    <w:p>
      <w:r>
        <w:rPr>
          <w:b/>
        </w:rPr>
        <w:t>E. 4.1</w:t>
      </w:r>
    </w:p>
    <w:p>
      <w:r>
        <w:t>Selon l' art. 65a EIMP ,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 Lorsque l'autorité requérante requiert expressément la présence de ses enquêteurs, on peut en général présumer que celle-ci est propre à faciliter l'exécution de la demande.</w:t>
      </w:r>
    </w:p>
    <w:p>
      <w:r>
        <w:rPr>
          <w:b/>
        </w:rPr>
        <w:t>E. 4.2</w:t>
      </w:r>
    </w:p>
    <w:p>
      <w:r>
        <w:t>Lorsqu'elle autorise la présence d'enquêteurs étrangers, l'autorité d'exécution doit prendre des mesures concrètes afin de s'assurer que cette présence n'aura n'a pas pour effet de porter à la connaissance des autorités de l'Etat requérant des éléments de preuve, touchant au domaine secret, qu'elles ne pourraient obtenir qu'après le prononcé d'une décision de clôture définitive ( art. 65a EIMP ). Lors d'une perquisition, cela implique notamment l'interdiction de remettre directement les documents saisis ou d'en lever copie ( ATF 128 II 211 consid. 2.1 et la jurisprudence citée).</w:t>
      </w:r>
    </w:p>
    <w:p>
      <w:r>
        <w:rPr>
          <w:b/>
        </w:rPr>
        <w:t>E. 4.3</w:t>
      </w:r>
    </w:p>
    <w:p>
      <w:r>
        <w:t>Ces exigences paraissent avoir été respectées dans le cas particulier. Il n'est en effet pas prétendu que des documents ou tout autre moyen de preuve soient parvenus à l'autorité requérante avant le prononcé de la décision de clôture. Il est vrai que l'autorité requérante a, le 20 novembre 2002, étendu le cercle des investigations à des sociétés dont elle ignorait l'existence avant la perquisition. En réponse à l'interpellation des recourants, la DGD a toutefois fait savoir, le 27 janvier 2003, que de nombreux actes d'entraide avaient déjà été effectués depuis 1998 sur l'ensemble du territoire suisse, ainsi que dans d'autres Etats. Il est par conséquent possible que les autorités allemandes aient connu le nom des sociétés en consultant des documents qui lui ont été régulièrement remis. Toutefois, même si l'extension requise se fonde sur des informations des enquêteurs allemands présents lors des actes d'entraide, ces informations ne constituent pas des moyens de preuve, et il n'en résulte aucun préjudice pour les recourants. En effet, comme cela est relevé ci-dessous, l'autorité d'exécution aurait pu, au regard du principe de proportionnalité, étendre spontanément la transmission aux autres sociétés que celles explicitement mentionnées dans la demande. Elle aurait aussi pu attirer l'attention de l'autorité requérante sur l'existence de ces sociétés en procédant à une transmission spontanée propre à permettre une demande complémentaire ( art. 67a EIMP ). Dans son résultat, l'extension de l'entraide requise n'est donc pas critiquable.</w:t>
      </w:r>
    </w:p>
    <w:p>
      <w:r>
        <w:rPr>
          <w:b/>
        </w:rPr>
        <w:t>E. 5</w:t>
      </w:r>
    </w:p>
    <w:p>
      <w:r>
        <w:t>Les recourants invoquent ensuite le principe de la proportionnalité. La mission était limitée à X.________ (appartement, véhicules et locaux commerciaux) et à A.________ SA, dans la mesure où ils détenaient des documents concernant le trafic de cigarettes. Or, d'autres sociétés ont des activités dans les mêmes bureaux, soit B.________ SA, D.________ SA et E.________ SA, ainsi que les sociétés personnelles de Y.________; ce dernier s'était opposé, lors de la perquisition, à la saisie des documents n'ayant aucun rapport avec A.________ SA. Le 2 avril 2003, la DGD lui indiquait détenir 154 classeurs qui pouvaient être consultés sur place. Le 8 mai 2003, Y.________ avait constaté, par sondages, que les documents ne concernaient pas tous A.________ SA; aucun tri n'aurait été effectué par l'autorité, et le nombre élevé de documents ne suffirait pas à justifier cette inaction. Invoquant leur droit d'être entendus, les recourants relèvent que la transmission porterait finalement sur 220 classeurs, de sorte que 66 dossiers auraient été soustraits à la consultation. En outre, seule A.________ SA aurait été invitée à participer à la procédure, alors que de nombreuses autres sociétés étaient concernées. Chaque recourant présente ensuite ses propres objections à la transmission des documents qui le concernent.</w:t>
      </w:r>
    </w:p>
    <w:p>
      <w:r>
        <w:rPr>
          <w:b/>
        </w:rPr>
        <w:t>E. 5.1</w:t>
      </w:r>
    </w:p>
    <w:p>
      <w:r>
        <w:t>Les griefs formels apparaissent manifestement mal fondés. La décision d'entrée en matière n'a certes été notifiée qu'à A.________ SA, par son mandataire, en raison du fait que cette société est la principale utilisatrice des locaux, et que les recherches sont essentiellement dirigées à son encontre. Cela n'a pas empêché les autres personnes physiques et morales d'intervenir si elles le jugeaient nécessaire, puisque l'administrateur unique de A.________ SA est également administrateur de chacune des autres sociétés. Celles-ci ont ainsi eu connaissance de la décision d'entrée en matière, et pouvaient demander qu'elle leur soit notifiée personnellement, et requérir le droit d'intervenir dans la procédure, notamment en participant au tri des pièces. Le mandataire de A.________ SA est d'ailleurs systématiquement intervenu au nom de l'ensemble des sociétés; celles-ci ne sauraient donc prétendre avoir été indûment privées de leur droit de participer à la procédure. Par ailleurs, s'il existe une différence entre le nombre de dossiers mentionnés dans l'invitation à participer au tri du 2 avril 2003, et ceux qui font finalement l'objet de la transmission, cela est dû au fait que des documents sur support informatique ont été par la suite imprimés; ces pièces n'ont pas été soustraites à la consultation.</w:t>
      </w:r>
    </w:p>
    <w:p>
      <w:r>
        <w:rPr>
          <w:b/>
        </w:rPr>
        <w:t>E. 5.2</w:t>
      </w:r>
    </w:p>
    <w:p>
      <w:r>
        <w:t>Les recourants reprochent à la DGD de n'avoir effectué aucun tri sérieux des documents saisis. Lors de la consultation du 8 mai 2003, Y.________ avait constaté que de nombreux documents ne concernaient pas uniquement A.________ SA, et qu'une consultation intégrale pourrait durer plusieurs jours.</w:t>
      </w:r>
    </w:p>
    <w:p>
      <w:r>
        <w:rPr>
          <w:b/>
        </w:rPr>
        <w:t>E. 5.2.1</w:t>
      </w:r>
    </w:p>
    <w:p>
      <w:r>
        <w:t>La participation du détenteur au tri des pièces dont l'autorité d'exécution envisage la transmission à l'Etat requérant découle en premier lieu de son droit d'être entendu ( ATF 126 II 258 consid. 9b/aa p. 262). Elle est aussi nécessaire pour assurer le respect du principe de la proportionnalité, qui interdit la remise en vrac des documents et informations recueillis. Pour effectuer le tri indispensable, l'autorité d'exécution doit s'appuyer sur le détenteur. Celui-ci, en vertu du principe de la bonne foi régissant les rapports mutuels de l'Etat et des particuliers ( art. 5 al. 3 Cst. ), est tenu de coopérer avec l'autorité d'exécution afin de prévenir le risque de violation du principe de la proportionnalité (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 ATF 126 II 258 consid. 9c p. 264). Il ne suffit pas d'affirmer péremptoirement qu'une pièce est sans rapport avec l'affaire; une telle assertion doit être étayée avec soin ( ATF 126 II 258 consid. 9c p. 264). L'obligation de coopérer avec l'autorité d'exécution s'impose au détenteur dès le stade de l'exécution de la demande. Est incompatible avec le principe de la bonne foi le procédé consistant à abandonner le tri des pièces à l'autorité d'exécution, sans lui prêter aucun concours, pour lui reprocher après coup d'avoir méconnu le principe de la proportionnalité ( ATF 126 II 258 consid. 9b/aa p. 262). Le droit d'être entendu est assorti d'un devoir de coopération, dont l'inobservation est sanctionnée par le fait que le détenteur ne peut plus soulever devant l'autorité de recours les arguments qu'il a négligé de soumettre à l'autorité d'exécution ( ATF 126 II 258 consid. 9b p. 262-264).</w:t>
      </w:r>
    </w:p>
    <w:p>
      <w:r>
        <w:rPr>
          <w:b/>
        </w:rPr>
        <w:t>E. 5.2.2</w:t>
      </w:r>
    </w:p>
    <w:p>
      <w:r>
        <w:t>En l'occurrence, force est de constater que les recourants n'ont guère satisfait à l'obligation de collaboration qui leur incombait. L'administrateur s'est rendu sur place, pour constater que les documents saisis étaient trop nombreux pour être examinés et triés. Même si le nombre de pièces saisies est particulièrement important, ce sont les recourants qui en connaissaient le mieux la teneur, de sorte qu'il ne se justifiait pas de déroger à la procédure habituelle. Les recourants ne pouvaient donc se contenter d'une attitude passive, et attendre que l'autorité d'exécution effectue une première sélection des documents à transmettre. Même si cela impliquait un travail considérable, il leur appartenait d'effectuer un tri de détail et de présenter une liste de pièces déterminées à la transmission desquelles ils s'opposaient, sur laquelle il aurait appartenu à l'autorité d'exécution de se prononcer. Comme cela est relevé ci-dessous, les affirmations d'ordre général, s'apparentant à une argumentation à décharge, ne sont pas suffisantes dans ce cadre. Il n'y a pas lieu de donner aux recourants une nouvelle occasion pour participer au tri et se déterminer. Cela porterait par ailleurs atteinte au principe de célérité posé à l' art. 17a EIMP . Conformément à la jurisprudence rappelée ci-dessus, le refus des recourants de participer à la sélection des documents pertinents les prive du droit de soulever le grief correspondant devant le Tribunal fédéral. Ce dernier n'a pas à opérer lui-même le tri, à la manière d'une autorité de première instance ( ATF 126 II 258 consid. 9c p. 264 et la jurisprudence citée). Cela étant, les remarques suivantes peuvent être formulées, en réponse aux objections des recourants.</w:t>
      </w:r>
    </w:p>
    <w:p>
      <w:r>
        <w:rPr>
          <w:b/>
        </w:rPr>
        <w:t>E. 5.3</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5.4</w:t>
      </w:r>
    </w:p>
    <w:p>
      <w:r>
        <w:t>La demande d'entraide tend à l'exécution en Suisse du mandat de perquisition et de saisie du 19 avril 2002. Celui-ci autorise la saisie de documents, notamment dans les bureaux de A.________ SA, en rapport avec le trafic de cigarettes. A titre d'exemple, sont visés les papiers à en-tête de sociétés, les contrats, les factures, les bons de livraison et documents douaniers, la correspondance avec les expéditeurs, transporteurs, entreposeurs et commerçants de tabac, ainsi que les documents bancaires et quittances concernant les achats et ventes de cigarettes. La mission est ainsi définie de manière très large; si elle mentionne la société A.________ SA, en raison des liens entre X.________ et Z.________, elle envisage aussi la participation de très nombreuses autres sociétés.</w:t>
      </w:r>
    </w:p>
    <w:p>
      <w:r>
        <w:rPr>
          <w:b/>
        </w:rPr>
        <w:t>E. 5.4.1</w:t>
      </w:r>
    </w:p>
    <w:p>
      <w:r>
        <w:t>Il est admis que A.________ SA a été active dans le domaine de l'import-export du tabac, de 1992 à 1998, sous la direction de X.________. Par la suite, elle serait devenue active dans le secteur immobilier sous l'administration de Y.________. Ce dernier aurait procédé à l'installation de cinq ordinateurs, ce qui expliquerait l'apparition de son nom sur les nombreuses copies-écran effectuées. Compte tenu de la présence de plusieurs sociétés et des activités de Y.________, il serait normal que les documents saisis soient de diverses natures, ce qui n'empêchait pas un tri correct. De nombreux documents - dont certains sont mentionnés à titre d'exemples - seraient sans aucun rapport avec le trafic de tabac, A.________ SA n'ayant plus d'activité dans ce domaine depuis 1998. Les documents relatifs à l'activité immobilière devraient être écartés de la transmission. La DGD relève que les documents de A.________ SA étaient déjà mélangés avec ceux des autres sociétés avant la perquisition. Cela serait dû au fait que Y.________ utilisait le nom ou l'adresse de A.________ SA pour ses propres affaires, et que la correspondance des autres sociétés était aussi faite par l'entremise de A.________ SA. Dans ces conditions, on ne saurait reprocher à l'autorité d'exécution d'avoir laissé les documents dans l'ordre dans lequel ils ont été trouvés. A priori, les documents concernant les activités déployées ultérieurement par la société ne paraissent pas relever du commerce du tabac. Toutefois, l'autorité requérante dispose d'un intérêt à connaître la reconversion éventuelle d'une personne morale qu'elle soupçonne. On ne saurait en effet exclure que le produit d'un trafic illicite puisse avoir été utilisé dans le cadre de cette nouvelle activité. Quant à l'utilisation du nom ou de l'adresse de cette société par d'autres, elle est révélatrice d'un mode d'utilisation que l'autorité requérante est intéressée à connaître. Même si elle procède d'une légère extension de l'entraide requise, la transmission de l'ensemble des documents concernant A.________ SA n'est pas disproportionnée.</w:t>
      </w:r>
    </w:p>
    <w:p>
      <w:r>
        <w:rPr>
          <w:b/>
        </w:rPr>
        <w:t>E. 5.4.2</w:t>
      </w:r>
    </w:p>
    <w:p>
      <w:r>
        <w:t>C.________ SA et E.________ SA relèvent qu'elles ne sont pas mentionnées dans la demande d'entraide, et soutiennent que leur activité serait parfaitement régulière. Il ressort des extraits de registre du commerce que le but social de C.________ SA était l'importation et l'exportation de toute marchandise, principalement dans le secteur du tabac. E.________ SA expose qu'elle a été fondée pour gérer et exploiter un immeuble à Genève, mais son but social est également "le commerce, importation et exportation, courtage et représentation de matières premières". Compte tenu des rapports étroits entre ces deux sociétés, l'intérêt présenté à leur égard par l'autorité requérante n'apparaît pas injustifié.</w:t>
      </w:r>
    </w:p>
    <w:p>
      <w:r>
        <w:rPr>
          <w:b/>
        </w:rPr>
        <w:t>E. 5.4.3</w:t>
      </w:r>
    </w:p>
    <w:p>
      <w:r>
        <w:t>Comme cela est relevé ci-dessus, les documents relatifs à D.________ SA et B.________ SA ne font pas l'objet de la décision de clôture. Les griefs soulevés à cet égard sont par conséquent sans objet.</w:t>
      </w:r>
    </w:p>
    <w:p>
      <w:r>
        <w:rPr>
          <w:b/>
        </w:rPr>
        <w:t>E. 5.4.4</w:t>
      </w:r>
    </w:p>
    <w:p>
      <w:r>
        <w:t>Pour l'ensemble des autres documents, l'argumentation des recourants consiste à se prétendre étrangers aux agissements poursuivis. Il existe toutefois certains rapports entre les personnes concernées et la société A.________ SA. Or, l'autorité requérante désire être renseignée sur toutes les relations, écrans et prête-noms, qui ont pu être utilisés, ce qui suffit à justifier la transmission contestée. Le grief relatif au principe de la proportionnalité doit par conséquent être écarté.</w:t>
      </w:r>
    </w:p>
    <w:p>
      <w:r>
        <w:rPr>
          <w:b/>
        </w:rPr>
        <w:t>E. 6</w:t>
      </w:r>
    </w:p>
    <w:p>
      <w:r>
        <w:t>Les recourants se plaignent enfin de ce que le principe de la spécialité ne soit pas expressément rappelé dans la décision de clôture, alors que les fonctionnaires étrangers ont déjà eu accès à des informations. Comme le rappelle la DGD, le principe de la spécialité fera l'objet d'un rappel lors de la transmission des documents par l'OFJ, selon la formule habituellement utilisée. Le Tribunal fédéral a d'ailleurs relevé, dans son arrêt du 27 novembre 2000, que cette réserve n'avait pas à figurer dans la décision de clôture proprement dite, en particulier lorsque l'autorité requérante a déjà donné des assurances à ce propos. Tel est le cas en l'espèce: dans son complément du 19 avril 2002, le Parquet d'Augsbourg a répété les assurances qu'il avait déjà données auparavant, conformément à l'art. 34 al. 1 in initio OEIMP.</w:t>
      </w:r>
    </w:p>
    <w:p>
      <w:r>
        <w:rPr>
          <w:b/>
        </w:rPr>
        <w:t>E. 7</w:t>
      </w:r>
    </w:p>
    <w:p>
      <w:r>
        <w:t>Sur le vu de ce qui précède, le recours de droit administratif doit être rejeté dans la mesure où il est recevable. Conformément à l' art. 156 al. 1 OJ , un émolument judiciaire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