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1A.205/2005 vom 21. September 2005</w:t>
      </w:r>
    </w:p>
    <w:p>
      <w:r>
        <w:t>Bundesgericht, 2005-09-21, FR</w:t>
      </w:r>
    </w:p>
    <w:p>
      <w:r>
        <w:rPr>
          <w:b/>
        </w:rPr>
        <w:t xml:space="preserve">Quelle: </w:t>
      </w:r>
      <w:r>
        <w:t>https://mcp.opencaselaw.ch/entscheid/bger_1A.205_2005</w:t>
      </w:r>
    </w:p>
    <w:p>
      <w:r>
        <w:t>FR: TF 1A.205/2005 du 21 septembre 2005</w:t>
      </w:r>
    </w:p>
    <w:p>
      <w:r>
        <w:t>IT: TF 1A.205/2005 del 21 settembre 2005</w:t>
      </w:r>
    </w:p>
    <w:p>
      <w:pPr>
        <w:pStyle w:val="Heading2"/>
      </w:pPr>
      <w:r>
        <w:t>Regeste</w:t>
      </w:r>
    </w:p>
    <w:p>
      <w:r>
        <w:t>Entraide judiciaire internationale en matière pénale à la France - RH.2003.8 - OFJ B 109 762/07 BFo | Entraide et extradition</w:t>
      </w:r>
    </w:p>
    <w:p>
      <w:pPr>
        <w:pStyle w:val="Heading2"/>
      </w:pPr>
      <w:r>
        <w:t>Erwägungen</w:t>
      </w:r>
    </w:p>
    <w:p>
      <w:r>
        <w:rPr>
          <w:b/>
        </w:rPr>
        <w:t>E. 1</w:t>
      </w:r>
    </w:p>
    <w:p>
      <w:r>
        <w:t>La Confédération suisse et la République française sont toutes deux parties à la CEEJ, laquelle a été complétée, dans les relations bilatérales, par l'accord du 28 octobre 1996, entré en vigueur le 1er mai 2000 (RS 0.351.934.92). S'agissant d'une demande d'entraide présentée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que celui-ci ( ATF 123 II 134 consid. 1a p. 136; 122 II 140 consid. 2 p. 142; 120 Ib 120 consid. 1a p. 122/123, et les arrêts cités).</w:t>
      </w:r>
    </w:p>
    <w:p>
      <w:r>
        <w:rPr>
          <w:b/>
        </w:rPr>
        <w:t>E. 2</w:t>
      </w:r>
    </w:p>
    <w:p>
      <w:r>
        <w:t>La voie du recours de droit administratif est ouverte contre la décision confirmant la transmission de la documentation commerciale (cf. art. 25 al. 1 EIMP ). La recourante a qualité pour agir, au sens de l' art. 80h let. b EIMP , mis en relation avec l' art. 9a let. a OEIMP , contre la transmission de la documentation relative au compte n°--- dont elle est la titulaire ( ATF 130 II 162 consid. 1.1 p. 164; 127 II 198 consid 2d p. 205; 126 II 258 consid. 2d/aa p. 260,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3</w:t>
      </w:r>
    </w:p>
    <w:p>
      <w:r>
        <w:t>La recourante se prévaut des art. 14 CEEJ et 28 EIMP.</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w:t>
      </w:r>
    </w:p>
    <w:p>
      <w:r>
        <w:rPr>
          <w:b/>
        </w:rPr>
        <w:t>E. 3.2</w:t>
      </w:r>
    </w:p>
    <w:p>
      <w:r>
        <w:t>L'exposé des faits joint à la demande du 1er octobre 2002 se rapporte aux activités de H.________. Celui-ci est soupçonné d'avoir détourné des fonds provenant de la société russe C.________ qu'il dirigeait. Les autorités françaises ont conçu le soupçon qu'une partie de ces fonds auraient été acheminés sur les comptes de A.________ par l'entremise de D.________, société russe active dans le domaine du pétrole, entre juillet 1997 et juin 1998. A.________ avait ensuite viré un montant total équivalant à 136'904'417 FRF entre le 29 novembre 1996 et le 31 décembre 2000, sur des comptes détenus par B.________, qu'elle dominait. Ces fonds auraient servi à financer en partie l'acquisition par B.________ de biens immobiliers à Antibes (soit un château), mis à la disposition de H.________ et de L.________, dirigeant de la société russe M.________. En plus de ces éléments, le Juge d'instruction a pris en compte le fait qu'une société des Iles Caïmans dénommée O.________, dominée par H.________, avait versé des montants importants à A.________, provenant en partie de D.________. Il a également souligné les liens personnels unissant H.________ à F.________, dirigeant de A.________ et de O.________. La particularité du cas tient au fait que l'on ignore si l'infraction principale (soit les détournements de fonds effectués au préjudice de C.________) a été réalisée et, dans l'affirmative, où, quand et comment. La demande et la décision attaquée sont muettes sur ce point. Or, s'il existe suffisamment d'indices que des fonds ont été acheminés de Russie en France, par l'entremise de sociétés suisses, et que ces versements ont servi à l'acquisition de biens immobiliers en France, dont le caractère particulier pourrait laisser supposer une opération de blanchiment d'argent, rien ne permet d'entrevoir, ne serait-ce de manière minimale, en quoi les fonds suspects proviendraient, directement ou indirectement de C.________, d'une part, ni en quoi ils seraient le produit d'un crime, d'autre part.</w:t>
      </w:r>
    </w:p>
    <w:p>
      <w:r>
        <w:rPr>
          <w:b/>
        </w:rPr>
        <w:t>E. 3.3</w:t>
      </w:r>
    </w:p>
    <w:p>
      <w:r>
        <w:t>La demande complémentaire du 14 novembre 2002 (qui avait pour but d'élargir la mission confiée à l'autorité suisse d'exécution à la perquisition des locaux de la recourante) est accompagnée d'une note d'information établie le 29 août 2002 par le service français chargé du traitement du renseignement et de l'action contre les circuits financiers clandestins (ci-après: Tracfin). Or, ce document se rapporte, pour ce qui concerne l'infraction principale à la source du blanchiment, à un complexe de faits différent de l'affaire C.________. Il évoque les rapports entre D.________ et M.________. En août 2000, un groupe de banques internationales a accordé à celle-ci un prêt d'un montant de 180 millions d'USD pour le financement de recherches pétrolières. Une partie de ce montant aurait été détournée au profit de D.________, sous couvert de versement du prix du pétrole brut livré par M.________ à la société P.________. H.________ aurait ristourné à L.________ une partie du profit réalisé, sous la forme de l'acquisition, par B.________, d'un château, ainsi que de l'acquisition, par la société française R.________, d'immeubles sis à St-Tropez. Or, R.________ serait domiciliée à la même adresse que B.________ et R.________ serait contrôlée par un trust chypriote dominé par L.________. Le Tracfin soupçonne également D.________ d'avoir servi au détournement d'une partie d'un prêt de 4,6 milliards d'USD accordé par le Fonds monétaire international à la Fédération de Russie, ainsi que d'un prêt de 58 millions d'USD accordé par la Banque européenne pour la reconstruction et le développement au gouvernement russe. Ces indications, très fragmentaires, sont insuffisantes pour admettre que le compte de la recourante aurait pu servir d'intermédiaire dans l'acheminement des fonds provenant de M.________ et qui auraient été réinvestis dans l'acquisition d'un château. La recourante n'est pas désignée dans ce document et son rôle n'en ressort pas. Au demeurant, le Juge d'instruction n'a pas fondé sa décision sur la note accompagnant la demande complémentaire.</w:t>
      </w:r>
    </w:p>
    <w:p>
      <w:r>
        <w:rPr>
          <w:b/>
        </w:rPr>
        <w:t>E. 3.4</w:t>
      </w:r>
    </w:p>
    <w:p>
      <w:r>
        <w:t>Le grief tiré de l' art. 28 EIMP est ainsi bien fondé, et la décision attaquée annulée, sans qu'il soit nécessaire d'examiner les autres griefs soulevés par la recourante. Cela ne signifie pas pour autant que la demande d'entraide doive être rejetée. Il est en effet possible que l'Etat requérant puisse compléter l'état de fait joint à la demande, de manière à satisfaire aux exigences du traité et de la loi à cet égard. Le Juge d'instruction invitera l'autorité requérante à remédier au vice formel qui entache la demande ( art. 28 al. 6 EIMP ), puis statuera à nouveau.</w:t>
      </w:r>
    </w:p>
    <w:p>
      <w:r>
        <w:rPr>
          <w:b/>
        </w:rPr>
        <w:t>E. 4</w:t>
      </w:r>
    </w:p>
    <w:p>
      <w:r>
        <w:t>Le recours doit ainsi être admis et la décision attaquée annulée. La cause est renvoyée au Juge d'instruction fédéral pour nouvelle décision ( art. 114 al. 2 OJ ). Il est statué sans frais (156 OJ). L'Office des juges d'instruction fédéraux versera à la recourante une indemnité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