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1A.205/2003 vom 19. März 2004</w:t>
      </w:r>
    </w:p>
    <w:p>
      <w:r>
        <w:t>Bundesgericht, 2004-03-19, FR</w:t>
      </w:r>
    </w:p>
    <w:p>
      <w:r>
        <w:rPr>
          <w:b/>
        </w:rPr>
        <w:t xml:space="preserve">Quelle: </w:t>
      </w:r>
      <w:r>
        <w:t>https://mcp.opencaselaw.ch/entscheid/bger_1A.205_2003</w:t>
      </w:r>
    </w:p>
    <w:p>
      <w:r>
        <w:t>FR: TF 1A.205/2003 du 19 mars 2004</w:t>
      </w:r>
    </w:p>
    <w:p>
      <w:r>
        <w:t>IT: TF 1A.205/2003 del 19 marzo 2004</w:t>
      </w:r>
    </w:p>
    <w:p>
      <w:pPr>
        <w:pStyle w:val="Heading2"/>
      </w:pPr>
      <w:r>
        <w:t>Erwägungen</w:t>
      </w:r>
    </w:p>
    <w:p>
      <w:r>
        <w:rPr>
          <w:b/>
        </w:rPr>
        <w:t>E. 1</w:t>
      </w:r>
    </w:p>
    <w:p>
      <w:r>
        <w:t>Le Tribunal fédéral examine d'office et librement la recevabilité des recours qui lui sont soumis ( ATF 129 II 225 consid. 1 p. 227, 453 consid. 2 p. 456 et les arrêts cités).</w:t>
      </w:r>
    </w:p>
    <w:p>
      <w:r>
        <w:rPr>
          <w:b/>
        </w:rPr>
        <w:t>E. 1.1</w:t>
      </w:r>
    </w:p>
    <w:p>
      <w:r>
        <w:t>La contestation porte sur une autorisation de construire délivrée pour un projet hors de la zone à bâtir; les recourants se plaignent à ce propos d'une violation de l' art. 24 LAT . Ils ne contestent plus, à ce stade, la patente de restaurant fondée sur le droit cantonal et octroyée dans une procédure menée de façon coordonnée avec la procédure d'autorisation de construire. Aux termes de l' art. 34 al. 1 LAT , le recours de droit administratif au Tribunal fédéral est recevable contre les décisions prises par l'autorité cantonale de dernière instance sur des demandes de dérogation en vertu des art. 24 à 24d LAT. Cette voie de recours a donc, en l'espèce, été choisie à juste titre.</w:t>
      </w:r>
    </w:p>
    <w:p>
      <w:r>
        <w:rPr>
          <w:b/>
        </w:rPr>
        <w:t>E. 1.2</w:t>
      </w:r>
    </w:p>
    <w:p>
      <w:r>
        <w:t>Dans la procédure du recours de droit administratif ( art. 97 ss OJ ), a qualité pour recourir en vertu de l' art. 103 let. a OJ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général ou dans l'intérêt d'un tiers est en revanche irrecevable. Ces exigences ont été posées de manière à empêcher l'"action populaire" dans les domaines de la juridiction administrative fédérale ( ATF 121 II 39 consid. 2c/aa p. 43, 171 consid. 2b p. 174; 120 Ib 48 consid. 2a p. 51, 379 consid. 4b p. 386 et les arrêts cités). Les conditions de l' art. 103 let. a OJ sont en principe réalisées quand le recours de droit administratif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120 Ib 379 consid. 4 p. 385 ss; cf. aussi la jurisprudence concernant la qualité pour recourir de voisins d'une installation de téléphonie mobile: ATF 128 II 168 ).</w:t>
      </w:r>
    </w:p>
    <w:p>
      <w:r>
        <w:rPr>
          <w:b/>
        </w:rPr>
        <w:t>E. 1.3</w:t>
      </w:r>
    </w:p>
    <w:p>
      <w:r>
        <w:t>D'après l'arrêt attaqué, les recourants exploitent deux restaurants d'altitude au lieu-dit "Les Attelas", à une distance (à vol d'oiseau) d'un kilomètre de l'emplacement du projet litigieux. Il serait possible de se rendre à ski, en suivant les pistes, des "Attelas" au "Cabanon".</w:t>
      </w:r>
    </w:p>
    <w:p>
      <w:r>
        <w:t>Au regard de la jurisprudence exposée ci-dessus, la distance linéaire d'un kilomètre est importante. A cela s'ajoute une différence d'altitude d'environ 300 m dans un paysage accidenté typique des Alpes valaisannes (selon des photos figurant au dossier). Les recourants ne sont donc pas, à l'évidence, des voisins directs ou proches; l'exploitation de la buvette ne les exposerait pas à des nuisances (bruit, fumée, etc.). Selon les critères que l'on vient de rappeler, fondés sur la proximité spatiale et les risques d'immissions, on ne saurait considérer que les recourants sont touchés dans une mesure et avec une intensité plus grandes que la généralité des administrés.</w:t>
      </w:r>
    </w:p>
    <w:p>
      <w:r>
        <w:t>Les recourants relèvent que, pour les skieurs clients des restaurants d'altitude de Verbier, la distance à parcourir entre leurs établissements et le "Cabanon" serait insignifiante, compte tenu de la vitesse de déplacement. Or le fait que l'on puisse se rendre rapidement du domicile ou de l'établissement de l'opposant à l'emplacement de la construction litigieuse - en l'occurrence à ski, dans d'autres cas en automobile ou par des moyens de transports publics - n'est pas un critère déterminant pour apprécier le rapport de proximité, selon la jurisprudence exposée ci-dessus (consid. 1.2).</w:t>
      </w:r>
    </w:p>
    <w:p>
      <w:r>
        <w:rPr>
          <w:b/>
        </w:rPr>
        <w:t>E. 1.4</w:t>
      </w:r>
    </w:p>
    <w:p>
      <w:r>
        <w:t>Les recourants se prévalent encore du "contexte particulier de l'exploitation d'un restaurant d'altitude sur des pistes de ski", qui justifierait que l'on reconnaisse la qualité pour recourir à des concurrents.</w:t>
      </w:r>
    </w:p>
    <w:p>
      <w:r>
        <w:t>Selon la jurisprudence, un intérêt digne de protection (au sens de l' art. 103 let. a OJ )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 ATF 127 II 264 consid. 2c p. 269). Ces critères s'appliquent notamment quand un commerçant demande l'annulation d'une autorisation de construire pour le projet d'un concurrent (cf. ATF 109 Ib 198 ; arrêt 1A.71/2000 du 3 janvier 2001, publié in RDAT 2001 II p. 263 consid. 3).</w:t>
      </w:r>
    </w:p>
    <w:p>
      <w:r>
        <w:t>Comme le relève l'arrêt attaqué, en droit cantonal valaisan, l'octroi d'une patente pour exploiter un café ou un restaurant (patente H - voir les art. 7 et 8 LHR , qui définissent cette autorisation de police) n'est actuellement plus soumis à la "clause du besoin" (clause auparavant usuelle dans les législations sur les établissements publics). Cette branche de l'économie ne fait donc pas l'objet d'une réglementation de politique économique susceptible de créer entre concurrents une relation particulièrement étroite, au sens de la jurisprudence précitée.</w:t>
      </w:r>
    </w:p>
    <w:p>
      <w:r>
        <w:t>Appliquant, à propos de la qualité pour recourir en droit cantonal valaisan, des critères correspondant à ceux de l' art. 103 let. a OJ , la Cour de droit public a considéré en l'espèce qu'une "clause du besoin" découlait néanmoins de l' art. 24 LAT , car tel serait le sens des conditions auxquelles cette norme subordonne l'octroi d'une dérogation pour un projet hors des zones à bâtir. Or cette disposition du droit de l'aménagement du territoire n'a pas pour but de régler les rapports entre acteurs d'une même branche économique. On ne saurait donc considérer que, dans la zone agricole ou dans une autre zone inconstructible, tous les propriétaires de terrains, de constructions ou d'installations seraient admis à contester par la voie du recours de droit administratif des projets de leurs concurrents, simplement parce que le droit de l'aménagement du territoire soumet les autorisations de construire à des conditions rigoureuses, tenant compte de la nécessité de préserver le territoire non bâti.</w:t>
      </w:r>
    </w:p>
    <w:p>
      <w:r>
        <w:rPr>
          <w:b/>
        </w:rPr>
        <w:t>E. 1.5</w:t>
      </w:r>
    </w:p>
    <w:p>
      <w:r>
        <w:t>Comme les recourants ne sont ni des voisins suffisamment proches, ni des concurrents pouvant se prévaloir d'une relation particulièrement étroite avec l'exploitant du "Cabanon", ils ne satisfont pas aux exigences de l' art. 103 let. a OJ . Leur recours de droit administratif doit donc être déclaré irrecevable.</w:t>
      </w:r>
    </w:p>
    <w:p>
      <w:r>
        <w:rPr>
          <w:b/>
        </w:rPr>
        <w:t>E. 2</w:t>
      </w:r>
    </w:p>
    <w:p>
      <w:r>
        <w:t>Un émolument judiciaire doit être mis à la charge des recourants, qui succombent ( art. 153, 153a et 156 al. 1 OJ ). Ils auront en outre à payer des dépens à C.________, qui a procédé avec l'assistance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