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1A.205/2001 vom 21. März 2002</w:t>
      </w:r>
    </w:p>
    <w:p>
      <w:r>
        <w:t>Bundesgericht, 2002-03-21, FR</w:t>
      </w:r>
    </w:p>
    <w:p>
      <w:r>
        <w:rPr>
          <w:b/>
        </w:rPr>
        <w:t xml:space="preserve">Quelle: </w:t>
      </w:r>
      <w:r>
        <w:t>https://mcp.opencaselaw.ch/entscheid/bger_1A.205_2001</w:t>
      </w:r>
    </w:p>
    <w:p>
      <w:r>
        <w:t>FR: TF 1A.205/2001 du 21 mars 2002</w:t>
      </w:r>
    </w:p>
    <w:p>
      <w:r>
        <w:t>IT: TF 1A.205/2001 del 21 marzo 2002</w:t>
      </w:r>
    </w:p>
    <w:p>
      <w:pPr>
        <w:pStyle w:val="Heading2"/>
      </w:pPr>
      <w:r>
        <w:t>Regeste</w:t>
      </w:r>
    </w:p>
    <w:p>
      <w:r>
        <w:t>Entraide et extradition</w:t>
      </w:r>
    </w:p>
    <w:p>
      <w:pPr>
        <w:pStyle w:val="Heading2"/>
      </w:pPr>
      <w:r>
        <w:t>Erwägungen</w:t>
      </w:r>
    </w:p>
    <w:p>
      <w:r>
        <w:rPr>
          <w:b/>
        </w:rPr>
        <w:t>E. 1.1</w:t>
      </w:r>
    </w:p>
    <w:p>
      <w:r>
        <w:t>L'entraide entre la République française et la Confédération est régie par la CEEJ et l'Accord complémentaire. Peuvent aussi trouver à s'appliquer les normes régissant la coopération internationale contenues dans la Convention relative au blanchiment, au dépistage, à la saisie et à la confiscation du produit du crime, conclue à Strasbourg le 8 novembre 1990, entrée en vigueur le 11 septembre 1993 pour la Suisse et le 1er février 1997 pour la France (CBl; RS 0.311.53). Les dispositions de ces instruments internationaux l'emportent sur le droit autonome qui régit la matière, soit l'EIMP et son ordonnance d'exécution (OEIMP; RS 351.11). Celles-ci restent toutefois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Est réservée l'exigence du respect des droits fondamentaux ( ATF 123 II 595 consid. 7c p. 617).</w:t>
      </w:r>
    </w:p>
    <w:p>
      <w:r>
        <w:rPr>
          <w:b/>
        </w:rPr>
        <w:t>E. 1.2</w:t>
      </w:r>
    </w:p>
    <w:p>
      <w:r>
        <w:t>La voie du recours de droit administratif est ouverte contre la décision confirmant la transmission de la documentation bancaire à l'Etat requérant et la saisie de comptes bancaires (cf. art. 25 al. 1 EIMP ). Elle est aussi ouverte, simultanément avec le recours dirigé contre la décision de clôture ( art. 80d EIMP ), contre les décisions incidentes antérieures ( art. 80e EIMP ).</w:t>
      </w:r>
    </w:p>
    <w:p>
      <w:r>
        <w:rPr>
          <w:b/>
        </w:rPr>
        <w:t>E. 1.3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w:t>
      </w:r>
    </w:p>
    <w:p>
      <w:r>
        <w:t>Selon la recourante, il serait impossible, sur la base de la demande, de déterminer en quoi elle-même et son ayant droit seraient impliqués dans la procédure pénale ouverte en France. Elle se plaint, à cet égard, d'une violation de l' art. 28 EIMP .</w:t>
      </w:r>
    </w:p>
    <w:p>
      <w:r>
        <w:rPr>
          <w:b/>
        </w:rPr>
        <w:t>E. 2.1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auraient été utilisés dans le déroulement des opérations délictueuses poursuivies dans l'Etat requérant (arrêt 1A.211/1992 du 29 juin 1993).</w:t>
      </w:r>
    </w:p>
    <w:p>
      <w:r>
        <w:rPr>
          <w:b/>
        </w:rPr>
        <w:t>E. 2.2</w:t>
      </w:r>
    </w:p>
    <w:p>
      <w:r>
        <w:t>La demande du 22 décembre 2000 et le complément du 17 janvier 2001 mentionnent U.________ parmi les personnes mises en examen dans le cadre de la procédure à l'origine de la demande d'entraide, en précisant qu'il se trouve sous contrôle judiciaire depuis le 22 décembre 2000. Pour le surplus, ni la demande, ni ses compléments, ne contiennent la moindre indication quant au rôle joué par U.________dans l'affaire. Si cette omission était sans conséquence pour ce qui concerne la demande et ses compléments des 2 et 4 janvier 2001, qui ne portaient pas sur des mesures à prendre à l'égard de U.________, il n'en allait pas de même s'agissant du complément du 17 janvier 2001, en exécution duquel les mesures litigieuses ont été prises. Conscient de ce défaut, le Juge d'instruction a, après le prononcé de ces décisions des 19 février et 11 juillet 2001, mais avant celui de la décision attaquée, demandé téléphoniquement au Juge Courroye de lui faire parvenir une copie du procès-verbal de l'audition d'inculpation de U.________. Le magistrat français a transmis par télécopie ce document, au sujet duquel la recourante a pu s'exprimer avant que la Chambre d'accusation ne statue. La recourante s'insurge contre ce procédé, qu'elle tient pour un détournement de procédure. Lorsque l'autorité d'exécution constate que la demande, sans être pour autant irrecevable, présente des lacunes, elle doit inviter l'autorité étrangère à remédier à ces vices formels ( art. 28 al. 6 EIMP ). C'est précisément ce qu'a fait le Juge d'instruction en demandant à l'autorité française de lui communiquer les documents permettant d'éclaircir la part prise par U.________ comme protagoniste de l'affaire pour les besoins de laquelle l'entraide a été demandée. Le procès-verbal de l'audition du 21 décembre 2000 contient à cet égard des indications suffisantes pour considérer qu'ainsi complétée, la demande du 22 décembre 2000 et son complément du 17 janvier 2001 satisfont, pour ce qui concerne la recourante et son ayant droit, aux exigences des art. 14 CEEJ et 28 EIMP. En effet, U.________, tout en niant détenir des comptes bancaires en Suisse, a reconnu devant le Juge Courroye connaître personnellement A.________ et F.________, et avoir reçu de ce dernier des montants très importants, correspondant, selon U.________, à la rémunération de services de conseil dans des affaires sans aucun rapport avec X.________ et B.________. Les modalités de cette collaboration étaient pour le moins insolites: l'engagement de U.________ n'a fait l'objet d'aucun contrat; sa rémunération, très importante, s'est faite de la main à la main et par petites coupures. Quant à la documentation remise par la banque Y.________, elle confirme que U.________, contrairement à ce qu'il a affirmé au juge français, contrôlait en Suisse un compte bancaire approvisionné par F.________. Ces indications étaient nécessaires à la compréhension de la demande du 22 décembre 2000 et de son complément du 17 janvier 2001. Il était du devoir du Juge d'instruction de les requérir. On ne saurait, avec la recourante, prétendre qu'interpeller l'autorité étrangère pour qu'elle complète la demande sur un point précis équivaudrait à la présentation d'une demande suisse à l'étranger. De même, la Chambre d'accusation ne pouvait en l'occurrence considérer que le Juge d'instruction avait procédé à une transmission spontanée au sens de l' art. 67a EIMP , dont les conditions, tant formelles que matérielles, ne sont manifestement pas remplies (cf. ATF 125 II 238 ). Dans sa réponse du 31 décembre 2001, le Juge d'instruction a au demeurant expressément indiqué ne pas avoir agi en application de l' art. 67a EIMP . Cela étant, la voie consistant à inviter directement par téléphone le juge étranger à compléter l'état de fait de la demande constituait une démarche inadéquate. Il aurait fallu présenter une demande écrite au Procureur général de la Cour d'appel de Paris (cf. art. XIV de l'Accord complémentaire), quitte à utiliser le moyen de la télécopie que prévoit l' art. 25 al. 1 CBl , disposition applicable à un cas où, comme en l'espèce, l'ayant droit d'une personne morale est soupçonné de blanchiment du produit des délits commis par des tiers. Ce mode de faire aurait aussi pu éviter à la recourante toutes les suppositions qu'elle fait à propos de la teneur de la conversation téléphonique entre les Juges Devaud et Courroye et de la tenue d'un dossier parallèle et secret. Le défaut affectant la communication de l'autorité d'exécution à l'autorité étrangère ne conduit pas à l'admission du recours sur ce point. Faire répéter correctement un acte nécessaire mais accompli irrégulièrement constituerait en l'occurrence une mesure vide de sens - puisque le contenu du procès-verbal de l'audition du 21 décembre 2000 est connu - de nature à prolonger inutilement la procédure d'entraide, en violation du principe de célérité ancré à l' art. 17a al. 1 EIMP . Le grief tiré de l' art. 28 EIMP doit ainsi être écarté et la conclusion préalable du recours rejetée.</w:t>
      </w:r>
    </w:p>
    <w:p>
      <w:r>
        <w:rPr>
          <w:b/>
        </w:rPr>
        <w:t>E. 3</w:t>
      </w:r>
    </w:p>
    <w:p>
      <w:r>
        <w:t>La recourante prétend que la condition de la double incrimination ne serait pas réalisée, tant pour elle-même et son ayant droit que pour F.________.</w:t>
      </w:r>
    </w:p>
    <w:p>
      <w:r>
        <w:rPr>
          <w:b/>
        </w:rPr>
        <w:t>E. 3.1</w:t>
      </w:r>
    </w:p>
    <w:p>
      <w:r>
        <w:t>La remise de documents bancaires est une mesure de contrainte au sens de l' art. 63 al. 2 let . c et d EIMP, qui ne peut être ordonnée, selon l' art. 64 al. 1 EIMP mis en relation avec la réserve faite par la Suisse à l' art. 5 al. 1 let. a CEEJ , que si l'état de fait exposé dans la demande correspond aux éléments objectifs d'une infraction réprimée par le droit suisse.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w:t>
      </w:r>
    </w:p>
    <w:p>
      <w:r>
        <w:rPr>
          <w:b/>
        </w:rPr>
        <w:t>E. 3.2</w:t>
      </w:r>
    </w:p>
    <w:p>
      <w:r>
        <w:t>A l'origine de la procédure ouverte dans l'Etat requérant se trouvent, selon la demande et ses compléments, les ventes d'armes aux autorités angolaises, effectuées par A.________ et F.________ par l'entremise de X.________ et de B.________, sans l'autorisation ministérielle requise selon l'art. 2 al. 3 du décret-loi du 18 avril 1939 fixant le régime des matériels de guerre, armes et munitions. A.________ et F.________ tomberaient dès lors sous le coup de l'art. 24 de ce décret-loi réprimant le commerce d'armes sans autorisation d'une peine de cinq ans d'emprisonnement et d'une amende d'un montant de 30'000 FRF. Commis en Suisse, ces faits seraient passibles de l'emprisonnement ou d'une amende d'un montant de 1'000'000 CHF selon l' art. 33 al. 1 LFMG , mis en relation avec l'art. 9 al. 1 let. b de la même loi. La recourante ne conteste pas ce point. La demande mentionne que A.________ et F.________ auraient détourné, à des fins personnelles, des montants très importants appartenant à B.________ dont ils sont les dirigeants. Ces faits constitueraient des abus de biens sociaux au sens de l'art. 425 de la loi du 24 juillet 1966 qui réprime le fait, pour des gérants de sociétés, d'avoir, de mauvaise foi, des biens ou du crédit de la société, un usage qu'ils savaient contraire aux intérêts de celle-ci, à des fins personnelles ou pour favoriser une autre société ou entreprise dans laquelle ils étaient intéressés directement ou indirectement. Serait aussi applicable l' art. 314-1 CP fr. définissant l'abus de confiance comme le détournement, au préjudice d'autrui, des fonds, des valeurs ou un bien quelconque qui lui ont été remis et qu'elle a acceptés à charge de les rendre, de les représenter ou d'en faire un usage déterminé. En droit suisse, les agissements reprochés à A.________ et à F.________ pourraient être assimilés à l'abus de confiance ( art. 138 CP ) ou à la gestion déloyale ( art. 158 CP ). Contrairement à ce que soutient la recourante, il ressort de manière suffisamment claire de la demande que A.________ et F.________ dirigeaient effectivement X.________ et B.________ et auraient privé cette dernière de montants importants, affectés à l'acquisition de biens mobiliers ou immobiliers destinés à leur usage personnel. A.________ et F.________ sont soupçonnés d'avoir utilisé une partie des fonds détournés au détriment de B.________ pour rémunérer des complices. Ces faits, réprimés en France comme des abus de biens sociaux et des abus de confiance, pourraient, s'ils avaient été commis en Suisse, tomber sous le coup de l' art. 138 ch. 1 al. 2 CP ou de l' art. 158 ch. 2 CP . Selon la demande, une partie des fonds détournés auraient servi au financement de campagnes pour l'élection du Parlement européen en 1999. Partant de la prémisse implicite que par ces dons, A.________ et F.________ cherchaient à obtenir la protection d'autorités politiques, les magistrats français ont envisagé l'application de l' art. 433-2 CP fr. Cette disposition réprime, comme trafic d'influence, le fait de solliciter ou d'agréer, directement ou indirectement, des offres, des promesses, des dons, des présents ou des avantages quelconques pour abuser de son influence réelle ou supposée, en vue de faire obtenir d'une autorité ou d'une administration publique des distinctions, des emplois, des marchés ou toute autre décision favorable. Le droit suisse ne connaît pas l'incrimination de trafic d'influence. Toutefois, tels qu'ils sont décrits dans la demande, les faits considérés pourraient être assimilés à de la corruption active au sens de l' art. 322ter CP , puisque le but supposé du don électoral aurait été d'obtenir, en contrepartie, l'impunité pour la violation de la législation sur le matériel de guerre. La demande mentionne aussi le fait que X.________ et B.________ n'auraient pas déclaré au fisc le produit de leur activité commerciale illicite, en violation des prescriptions fiscales. Ces faits ne donnent pas lieu à la coopération de la Suisse, puisque le Juge d'instruction et la Chambre d'accusation ont rappelé, à cet égard, la portée du principe de la spécialité aux autorités de l'Etat requérant. Cela devait être tenu pour acquis par la recourante, dont on ne comprend pas qu'elle revienne à la charge, dans le recours de droit administratif, sur ce point déjà tranché par l'autorité cantonale. Quant à U.________, il est poursuivi en France, selon le procès-verbal de l'audition du 21 décembre 2000, pour recel d'abus de biens sociaux, recel d'abus de confiance et de trafic d'influence. Même si la demande n'est pas absolument limpide à cet égard, il ressort toutefois de manière suffisamment claire de l'audition du 21 décembre 2000, que les magistrats français soupçonnent U.________, sous couvert d'une activité de conseil donné à A.________ et F.________, d'avoir aidé ceux-ci à cacher ou à recycler le produit des délits mis à leur charge. En Suisse, ces faits pourraient être qualifiés de recel ( art. 160 CP ), voire de blanchiment d'argent ( art. 305ter CP ). La recourante objecte à cela que le seul fait d'avoir reçu de l'argent de F.________ ne signifie pas pour autant que ces fonds proviendraient des activités délictueuses des principaux protagonistes de l'affaire. Sans doute. Mais c'est là précisément le point que l'enquête ouverte en France a pour but de vérifier. La remise de la documentation relative au compte n° YYY.________ doit permettre aux autorités françaises de mener des investigations complètes, qui confirmeront ou infirmeront leurs soupçons. En l'état, ceux-ci sont suffisamment étayés pour l'octroi de l'entraide. La condition de la double incrimination doit ainsi être tenue pour remplie aussi bien pour ce qui concerne A.________ et F.________, d'une part, et U.________, d'autre part. En l'état du droit suisse, la recourante, comme personne morale, ne peut pas être poursuivie en tant que telle, selon l'adage « societas delinquere non potest ». Elle ne prétend pas, au demeurant, que des poursuites seraient engagées contre elle-même en France.</w:t>
      </w:r>
    </w:p>
    <w:p>
      <w:r>
        <w:rPr>
          <w:b/>
        </w:rPr>
        <w:t>E. 4</w:t>
      </w:r>
    </w:p>
    <w:p>
      <w:r>
        <w:t>La recourante tient la remise de la documentation relative au compte n° YYY.________ pour disproportionnée.</w:t>
      </w:r>
    </w:p>
    <w:p>
      <w:r>
        <w:rPr>
          <w:b/>
        </w:rPr>
        <w:t>E. 4.1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Il incombe à la personne touchée de démontrer, de manière claire et précise, en quoi les documents et informations à transmettre excéderaient le cadre de la demande ou ne présenteraient aucun intérêt pour la procédure étrangère ( ATF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4.2</w:t>
      </w:r>
    </w:p>
    <w:p>
      <w:r>
        <w:t>Le lien entre F.________ et le compte de la recourante est établi. Cela justifie de communiquer tous les renseignements relatifs aux virements effectués par F.________ sur le compte litigieux. En outre, les développements de l'enquête ouverte en France pourraient révéler l'implication d'autres personnes et d'autres comptes, avec lesquels le compte de la recourante présenterait des liens. Entendu le 21 décembre 2000, U.________ a indiqué avoir reçu des montants importants de la main à la main. Il est possible que ces fonds aient servi à des transactions opérées à partir du compte de la recourante. Ces éléments justifient que, conformément à la jurisprudence qui vient d'être rappelée, l'intégralité de la documentation relative au compte n° YYY.________ soit remise à l'Etat requérant. Pour le surplus, le principe de la spécialité, rappelé dans les décisions attaquées, protège la recourante et son ayant droit de toute utilisation des renseignements transmis à d'autres fins que la procédure pénale pour laquelle l'entraide a été demandée.</w:t>
      </w:r>
    </w:p>
    <w:p>
      <w:r>
        <w:rPr>
          <w:b/>
        </w:rPr>
        <w:t>E. 5</w:t>
      </w:r>
    </w:p>
    <w:p>
      <w:r>
        <w:t>Le recours doit ainsi être rejeté. Les frais en sont mis à la charge de la recourante ( art.156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