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1A.196/2006 vom 12. März 2007</w:t>
      </w:r>
    </w:p>
    <w:p>
      <w:r>
        <w:t>Bundesgericht, 2007-03-12, FR</w:t>
      </w:r>
    </w:p>
    <w:p>
      <w:r>
        <w:rPr>
          <w:b/>
        </w:rPr>
        <w:t xml:space="preserve">Quelle: </w:t>
      </w:r>
      <w:r>
        <w:t>https://mcp.opencaselaw.ch/entscheid/bger_1A.196_2006</w:t>
      </w:r>
    </w:p>
    <w:p>
      <w:r>
        <w:t>FR: TF 1A.196/2006 du 12 mars 2007</w:t>
      </w:r>
    </w:p>
    <w:p>
      <w:r>
        <w:t>IT: TF 1A.196/2006 del 12 marzo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La voie du recours de droit administratif est ouverte contre une décision ordonnant la démolition d'installations réalisées sans autorisation dans la zone agricole ( art. 34 al. 1 LAT en relation avec les art. 97 ss OJ ; ATF 129 II 321 consid. 1.1 p. 324).</w:t>
      </w:r>
    </w:p>
    <w:p>
      <w:r>
        <w:t>Le propriétaire du terrain concerné, destinataire de l'ordre de remise en état, a qualité pour recourir ( art. 103 let. a OJ ). Les autres conditions de recevabilité du recours de droit administratif sont remplies (art. 104 à 108 OJ) et il y a lieu d'entrer en matière.</w:t>
      </w:r>
    </w:p>
    <w:p>
      <w:r>
        <w:rPr>
          <w:b/>
        </w:rPr>
        <w:t>E. 3</w:t>
      </w:r>
    </w:p>
    <w:p>
      <w:r>
        <w:t>Le recours de droit administratif est ouvert pour violation du droit fédéral, y compris l'excès ou l'abus du pouvoir d'appréciation ( art. 104 let. a OJ ). Dans le cadre d'un tel recours, le Tribunal fédéral contrôle d'office l'application du droit fédéral, qui englobe notamment les droits constitutionnels et les garanties découlant de la CEDH ( ATF 130 II 337 consid. 1.3 p. 341); n'étant pas lié par les moyens qu'invoquent les parties (art. 114 al. 1 in fine OJ), il peut admettre le recours pour d'autres motifs que ceux dont se prévaut le recourant ou, à l'inverse, confirmer la décision entreprise par substitution de motifs ( ATF 132 II 257 consid. 2.5 p. 262). Il est cependant lié par les faits tels qu'ils ont été constatés par le Tribunal administratif, à moins qu'ils ne soient manifestement inexacts ou incomplets ( art. 105 al. 2 OJ ).</w:t>
      </w:r>
    </w:p>
    <w:p>
      <w:r>
        <w:rPr>
          <w:b/>
        </w:rPr>
        <w:t>E. 4</w:t>
      </w:r>
    </w:p>
    <w:p>
      <w:r>
        <w:t>Dans des griefs d'ordre formel, les recourants font valoir que le Tribunal administratif aurait commis un déni de justice en omettant d'examiner l' art. 24c LAT . Ils soutiennent également que l'autorité cantonale aurait violé leur droit d'être entendus en se fondant sur des éléments recueillis postérieurement au dépôt du recours, sans les inviter à se prononcer à leur sujet.</w:t>
      </w:r>
    </w:p>
    <w:p>
      <w:r>
        <w:t>Au fond, ils estiment que les valeurs fixées par les art. 24c LAT et 42 OAT ne seraient en l'espèce pas dépassées, puisque l'on devrait retenir que la cave était préexistante et que les combles étaient déjà aménagées lors du rehaussement de la toiture.</w:t>
      </w:r>
    </w:p>
    <w:p>
      <w:r>
        <w:t>S'agissant de la piscine, ils contestent en avoir construit une nouvelle en 1990. Ils reprochent à cet égard au Tribunal administratif d'avoir arbitrairement apprécié les faits. Leur bonne foi serait au demeurant totale, puisque la piscine était cadastrée. Ils auraient au surplus été maintenus dans l'erreur par le département qui n'aurait fait aucune remarque lors de la délivrance du permis d'habiter en 1995.</w:t>
      </w:r>
    </w:p>
    <w:p>
      <w:r>
        <w:t>Le département aurait également violé le principe de la bonne foi eu égard aux deux auvents, au biotope et au jardin d'hiver car ils étaient également déjà présents lors de la délivrance du permis en 1995.</w:t>
      </w:r>
    </w:p>
    <w:p>
      <w:r>
        <w:t>Le biotope relèverait d'ailleurs plutôt de l'aménagement floral, non soumis à autorisation. Sa destruction serait de toute façon disproportionnée.</w:t>
      </w:r>
    </w:p>
    <w:p>
      <w:r>
        <w:rPr>
          <w:b/>
        </w:rPr>
        <w:t>E. 5</w:t>
      </w:r>
    </w:p>
    <w:p>
      <w:r>
        <w:t>L'autorité qui ne traite pas un grief relevant de sa compétence, motivé de façon suffisante et pertinente pour l'issue du litige commet un déni de justice formel proscrit par l' art. 29 al. 1 Cst. ( ATF 117 Ia 116 consid. 3a p. 117). L'interdiction du déni de justice est un droit de nature formelle dont la violation entraîne l'annulation de la décision attaquée, indépendamment du sort du recours sur le fond (cf. ATF 121 I 230 consid. 2a p. 232 et les arrêts cités).</w:t>
      </w:r>
    </w:p>
    <w:p>
      <w:r>
        <w:t>Selon la jurisprudence, l'autorité cantonale qui n'examine pas l'éventuelle applicabilité d'une disposition susceptible de permettre l'octroi d'une autorisation de construire commet non seulement un déni de justice mais viole également son obligation de motivation (arrêt 1P.190/2002 du 24 juin 2002 in RDAT 2002 II n. 64 p. 232).</w:t>
      </w:r>
    </w:p>
    <w:p>
      <w:r>
        <w:rPr>
          <w:b/>
        </w:rPr>
        <w:t>E. 5.1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t>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rPr>
          <w:b/>
        </w:rPr>
        <w:t>E. 5.2</w:t>
      </w:r>
    </w:p>
    <w:p>
      <w:r>
        <w:t>En l'espèce, dans leur recours au Tribunal administratif, les recourants ont invoqué l'art. 27c LaLAT (qui correspond à l' art. 24c LAT ). Dans ses observations sur le recours au Tribunal administratif, le département a même spécifié que l'application de l' art. 24c LAT était exclue en l'espèce, dans la mesure où les bâtiments édifiés sur la parcelle avaient fait l'objet de travaux de transformation importants depuis 1974 et que les limites chiffrées fixées par l' art. 42 OAT étaient dépassées.</w:t>
      </w:r>
    </w:p>
    <w:p>
      <w:r>
        <w:rPr>
          <w:b/>
        </w:rPr>
        <w:t>E. 5.3</w:t>
      </w:r>
    </w:p>
    <w:p>
      <w:r>
        <w:t>Le Tribunal administratif n'a quant à lui toutefois pas fait mention de l' art. 24c LAT . Il a simplement estimé que le jardin d'hiver, les auvents, la piscine et le biotope n'étaient pas des constructions dont l'emplacement était imposé en zone agricole par leur destination. Elles ne pouvaient par conséquent pas bénéficier d'une dérogation fondée sur l'art. 27 LaLAT (qui correspond à l' art. 24 LAT ). Il a également précisé que les constructions ne bénéficiaient pas de la prescription trentenaire. L'autorité cantonale n'a dès lors pas examiné si les constructions litigieuses pouvaient néanmoins être autorisées sur la base de l' art. 24c LAT .</w:t>
      </w:r>
    </w:p>
    <w:p>
      <w:r>
        <w:rPr>
          <w:b/>
        </w:rPr>
        <w:t>E. 5.4</w:t>
      </w:r>
    </w:p>
    <w:p>
      <w:r>
        <w:t>Il s'ensuit que le Tribunal administratif a commis un déni de justice et a violé le droit d'être entendus des recourants. Au demeurant, ce vice ne peut pas être réparé par le Tribunal fédéral dans la mesure où le Tribunal administratif ne s'est pas prononcé sur l'application de l' art. 24c LAT dans ses observations sur le recours, s'étant limité à se référer aux considérants de sa décision (arrêt 1P.190/2002 précité consid. 2.2.1).</w:t>
      </w:r>
    </w:p>
    <w:p>
      <w:r>
        <w:rPr>
          <w:b/>
        </w:rPr>
        <w:t>E. 6</w:t>
      </w:r>
    </w:p>
    <w:p>
      <w:r>
        <w:t>Le recours doit ainsi être admis pour ce seul motif déjà et l'arrêt attaqué annulé. Partant, il est superflu d'examiner les autres points soulevés par l'affaire. L'autorité cantonale est cependant invitée à établir les faits de manière plus précise.</w:t>
      </w:r>
    </w:p>
    <w:p>
      <w:r>
        <w:t>Il convient de statuer sans frais ( art. 156 OJ ). L'Etat de Genève versera aux recourants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