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1A.195/2005 vom 1. September 2005</w:t>
      </w:r>
    </w:p>
    <w:p>
      <w:r>
        <w:t>Bundesgericht, 2005-09-01, IT</w:t>
      </w:r>
    </w:p>
    <w:p>
      <w:r>
        <w:rPr>
          <w:b/>
        </w:rPr>
        <w:t xml:space="preserve">Quelle: </w:t>
      </w:r>
      <w:r>
        <w:t>https://mcp.opencaselaw.ch/entscheid/bger_1A.195_2005</w:t>
      </w:r>
    </w:p>
    <w:p>
      <w:r>
        <w:t>FR: TF 1A.195/2005 du 1 septembre 2005</w:t>
      </w:r>
    </w:p>
    <w:p>
      <w:r>
        <w:t>IT: TF 1A.195/2005 del 1 settembre 2005</w:t>
      </w:r>
    </w:p>
    <w:p>
      <w:pPr>
        <w:pStyle w:val="Heading2"/>
      </w:pPr>
      <w:r>
        <w:t>Regeste</w:t>
      </w:r>
    </w:p>
    <w:p>
      <w:r>
        <w:t>assistenza giudiziaria internazionale in materia penale all'Italia | Assistenza giudiziaria e estradizione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tassa di giustizia di fr. 3'000.-- è posta a carico del ricorrente.</w:t>
      </w:r>
    </w:p>
    <w:p>
      <w:r>
        <w:rPr>
          <w:b/>
        </w:rPr>
        <w:t>E. 3</w:t>
      </w:r>
    </w:p>
    <w:p>
      <w:r>
        <w:t>Comunicazione al patrocinatore del ricorrente, al Ministero pubblico della Confederazione e all'Ufficio federale di giustizia (B 095799 BEG). Losanna, 1° settembre 2005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