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1A.18/2007 vom 13. August 2007</w:t>
      </w:r>
    </w:p>
    <w:p>
      <w:r>
        <w:t>Bundesgericht, 2007-08-13, FR</w:t>
      </w:r>
    </w:p>
    <w:p>
      <w:r>
        <w:rPr>
          <w:b/>
        </w:rPr>
        <w:t xml:space="preserve">Quelle: </w:t>
      </w:r>
      <w:r>
        <w:t>https://mcp.opencaselaw.ch/entscheid/bger_1A.18_2007</w:t>
      </w:r>
    </w:p>
    <w:p>
      <w:r>
        <w:t>FR: TF 1A.18/2007 du 13 août 2007</w:t>
      </w:r>
    </w:p>
    <w:p>
      <w:r>
        <w:t>IT: TF 1A.18/2007 del 13 agosto 2007</w:t>
      </w:r>
    </w:p>
    <w:p>
      <w:pPr>
        <w:pStyle w:val="Heading2"/>
      </w:pPr>
      <w:r>
        <w:t>Regeste</w:t>
      </w:r>
    </w:p>
    <w:p>
      <w:r>
        <w:t>Entraide judiciaire internationale en matière pénale à la Fédération de Russie | Entraide et extradition</w:t>
      </w:r>
    </w:p>
    <w:p>
      <w:pPr>
        <w:pStyle w:val="Heading2"/>
      </w:pPr>
      <w:r>
        <w:t>Erwägungen</w:t>
      </w:r>
    </w:p>
    <w:p>
      <w:r>
        <w:rPr>
          <w:b/>
        </w:rPr>
        <w:t>E. 1</w:t>
      </w:r>
    </w:p>
    <w:p>
      <w:r>
        <w:t>Conformément aux art. 132 al. 1 LTF et 110b EIMP, les procédures de recours contre des décisions rendues, comme en l'espèce, avant l'entrée en vigueur de la nouvelle réglementation sont soumises à l'ancien droit.</w:t>
      </w:r>
    </w:p>
    <w:p>
      <w:r>
        <w:rPr>
          <w:b/>
        </w:rPr>
        <w:t>E. 1.1</w:t>
      </w:r>
    </w:p>
    <w:p>
      <w:r>
        <w:t>Le recours de droit administratif est interjeté en temps utile contre une décision prise par l'autorité fédérale d'exécution, relative à la clôture partielle de la procédure d'entraide judiciaire (art. 80g al. 1 de la loi fédérale sur l'entraide internationale en matière pénale - EIMP, RS 351.1).</w:t>
      </w:r>
    </w:p>
    <w:p>
      <w:r>
        <w:rPr>
          <w:b/>
        </w:rPr>
        <w:t>E. 1.2</w:t>
      </w:r>
    </w:p>
    <w:p>
      <w:r>
        <w:t>Le recourant a qualité pour recourir dans la mesure où la décision attaquée ordonne la transmission de renseignements relatifs à un compte bancaire dont il est titulaire ( art. 9a let. a OEIMP ). Il peut demander l'annulation des décisions incidentes ayant précédé la clôture, dans la mesure notamment où celles-ci portent sur le blocage de son compte bancaire.</w:t>
      </w:r>
    </w:p>
    <w:p>
      <w:r>
        <w:rPr>
          <w:b/>
        </w:rPr>
        <w:t>E. 2</w:t>
      </w:r>
    </w:p>
    <w:p>
      <w:r>
        <w:t>Sur le fond, le recourant soutient que les procédures dont il est l'objet seraient en réalité motivées par des raisons politiques et économiques: le recourant se prétend poursuivi en raison de son soutien à l'opposition et de sa proximité avec les "oligarches", considérés comme une menace pour le pouvoir en place en Russie, et en raison d'une politique de reprise par l'Etat du contrôle des ressources énergétiques du pays. Tel aurait déjà été le cas dans l'affaire Gusinskiy. Le Procureur russe aurait agi sur l'ordre du Président russe lui-même, après avoir dans un premier temps classé l'affaire. Les accusations de meurtres seraient elles aussi un prétexte. Le caractère discriminatoire de la procédure aurait conduit au rejet, par les autorités britanniques et du Liechtenstein, de demandes russes d'entraide et d'extradition. L'absence d'indépendance des juges serait particulièrement évidente dans le procès dirigé contre Khodorkovski et Lebedev, au cours duquel les droits de la défense auraient été systématiquement bafoués.</w:t>
      </w:r>
    </w:p>
    <w:p>
      <w:r>
        <w:rPr>
          <w:b/>
        </w:rPr>
        <w:t>E. 2.1</w:t>
      </w:r>
    </w:p>
    <w:p>
      <w:r>
        <w:t>Dans son arrêt du 4 janvier 2006, le Tribunal fédéral a déjà relevé le contexte particulier dans lequel s'inscrivait la demande d'entraide: la complexité des faits, présentés dans une certaine confusion, les soupçons d'ordre fiscal fréquemment évoqués et les réserves émises dans le cadre du Conseil de l'Europe à propos des poursuites intentées contre les dirigeants du groupe Yukos imposaient à l'autorité suisse de se départir de sa réserve particulière dans l'examen de l'état de fait présenté par l'autorité requérante. Dans sa résolution 1416 (2005), l'Assemblée parlementaire du Conseil de l'Europe avait retenu que les circonstances ayant entouré l'arrestation et l'inculpation des dirigeants de Yukos (soit notamment Khodorkovski et Lebedev) suggéraient fortement qu'elles n'étaient pas en conformité avec le principe de l'Etat de droit et que ces personnes avaient été prises pour cibles par les autorités en violation du principle d'égalité. Cette résolution fait aussi référence à l'arrêt de la CourEDH du 19 mai 2004 dans la cause Gusinskiy, qui fait état d'une instrumentalisation de la procédure pénale à des fins d'intimidation. Cette résolution insistait sur la nécessité de garantir l'indépendance de la justice et le respect des garanties de procédure; elle reposait sur le constat de nombreuses violations des droits de la défense; l'accumulation de ces irrégularités, la dépossession des dirigeants de Yukos par des redressements massifs d'impôts, le soutien financier de Khodorkovski à des groupes d'opposition ainsi que la campagne d'intimidation menée par les organes de l'Etat permettaient de penser que l'action de celui-ci ne se limitait pas à la simple poursuite de la justice pénale, mais incluait des éléments tels que "l'affaiblissement d'un adversaire politique déclaré, l'intimidation d'autres personnes riches et la reprise du contrôle d'actifs économiques stratégiques". Dans son premier arrêt, le Tribunal fédéral a ainsi estimé que la connexité des faits présentés dans la demande d'entraide avec l'affaire Yukos justifiait que l'exposé des faits, ainsi que la procédure ayant abouti à la condamnation des prévenus fassent l'objet d'un "examen critique".</w:t>
      </w:r>
    </w:p>
    <w:p>
      <w:r>
        <w:rPr>
          <w:b/>
        </w:rPr>
        <w:t>E. 2.2</w:t>
      </w:r>
    </w:p>
    <w:p>
      <w:r>
        <w:t>Les réserves exprimées dans cet arrêt tenaient essentiellement à l'arrière-plan politique de la procédure étrangère. En effet, si les infractions reprochées ne s'inscrivent pas directement dans le cadre de la lutte pour le pouvoir ( art. 3 EIMP ), la demande d'entraide posait un problème évident sous l'angle de l'art. 2 let. b et c EIMP. 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w:t>
      </w:r>
    </w:p>
    <w:p>
      <w:r>
        <w:rPr>
          <w:b/>
        </w:rPr>
        <w:t>E. 2.3</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 p. 326; 125 II 356 consid. 8a p. 364; 123 II 161 consid. 6b p. 167, 511 consid. 5b p. 517; 111 Ib 138 consid. 4 p. 142). Même s'il est douteux que l' art. 2 EIMP soit directement applicable, comme tel, à l'égard d'un Etat partie à la CEEJ, la jurisprudence considère que les garanties de procédure offertes par la CEDH et le Pacte ONU II appartiennent à l'ordre public international et que la Suisse contreviendrait à ses obligations internationales en collaborant à une procédure pénale présentant un risque de traitement contraire à ces garanties, notamment un traitement discriminatoire ( ATF 130 II 217 consid. 8.1 p. 227 et les arrêts cités; cf. arrêt Olaechea Cahuas c/ Espagne du 10 août 2006, par. 59-61 et la référence à l'arrêt Soering c/ Royaume-Uni du 7 juillet 1989, série A n° 161, par. 89-91). Les motifs d'exclusion de la coopération énumérés à l'art. 2 let. a, b et c EIMP, ressortissent également à l'ordre public national, opposable à la coopération régie par le traité (bilatéral ou multilatéral), pour autant que celui-ci le prévoie ( ATF 122 II 373 consid. 2d p. 379/380; 120 Ib 189 consid. 2a p. 191; 110 Ib 173 consid. 2 p. 176, et les arrêts cités). Or, tel est précisément le cas de l' art. 2 let. b CEEJ ( ATF 126 II 324 consid. 4c p. 327).</w:t>
      </w:r>
    </w:p>
    <w:p>
      <w:r>
        <w:rPr>
          <w:b/>
        </w:rPr>
        <w:t>E. 2.4</w:t>
      </w:r>
    </w:p>
    <w:p>
      <w:r>
        <w:t>La demande d'entraide doit donc être écartée lorsqu'est rendue vraisemblable l'existence d'un risque sérieux et objectif d'un traitement discriminatoire prohibé ( ATF 123 II 161 consid. 6b p. 167, 511 consid. 5b p. 517; 122 II 373 consid. 2a p. 377, et les arrêts cités). Dans ce contexte, il ne suffit pas de prétendre que la procédure pénale ouverte à l'étranger s'inscrirait dans le cadre d'un règlement de comptes, tendant à éliminer le recourant de la scène politique ( ATF 115 Ib 68 consid. 5a p. 85; 109 Ib 317 consid. 16c p. 338/339). Il faut au contraire apporter des éléments concrets permettant de supposer qu'il serait poursuivi pour des motifs cachés, ayant trait notamment à ses opinions politiques ( ATF 129 II 268 consid. 6.3 p. 272).</w:t>
      </w:r>
    </w:p>
    <w:p>
      <w:r>
        <w:rPr>
          <w:b/>
        </w:rPr>
        <w:t>E. 2.5</w:t>
      </w:r>
    </w:p>
    <w:p>
      <w:r>
        <w:t>De tels motifs existent dans le cas particulier, et les diverses prises de position de l'autorité requérante après les arrêts du mois de janvier 2006 n'apportent aucun démenti crédible sur ce point. La volonté du pouvoir en place en Russie de lutter contre la prééminence des riches oligarches est désormais attestée. Le MPC lui-même n'a pas méconnu cet aspect, puisqu'il relève dans sa décision que la démarche de l'Etat requérant a effectivement pour cadre la lutte contre le contrôle oligarchique résultant des privatisations survenues dans des circonstances obscures. La décision attaquée rappelle également que dans son rapport du 3 juin 2005, la Commission de suivi pour le respect des obligations et engagements des Etats membres du Conseil de l'Europe a salué les efforts déployés par les autorités russes pour lutter contre ces problèmes, tout en rappelant la nécessité d'adopter des solutions conformes aux normes et principes contraignants, juridiquement et politiquement, du Conseil de l'Europe. Dans sa résolution 1523 (2006) du 6 octobre 2006, l'Assemblée parlementaire du Conseil de l'Europe a rappelé ses résolutions et recommandations précédentes, en regrettant que les développements subséquents aient démontré tant le bien-fondé des critiques émises que leur absence de prises en compte par les autorités russes compétentes (n° 21). Il n'appartient certes pas à l'autorité suisse d'entraide de se prononcer sur la légitimité des réformes entreprises dans l'Etat requérant. Toutefois, la collaboration doit être refusée lorsqu'il apparaît que la procédure pénale pour laquelle elle est requise présente un tel arrière-plan politique.</w:t>
      </w:r>
    </w:p>
    <w:p>
      <w:r>
        <w:rPr>
          <w:b/>
        </w:rPr>
        <w:t>E. 3</w:t>
      </w:r>
    </w:p>
    <w:p>
      <w:r>
        <w:t>Le caractère politique et discriminatoire de la procédure suivie en Russie se trouve encore renforcé par les violations des garanties relatives aux droits de l'homme et de la défense qui ont apparemment été commises tout au long de la procédure, ainsi que par l'exposé des faits, qui demeure obscur en dépit même des jugements définitifs rendus dans l'Etat requérant.</w:t>
      </w:r>
    </w:p>
    <w:p>
      <w:r>
        <w:rPr>
          <w:b/>
        </w:rPr>
        <w:t>E. 3.1</w:t>
      </w:r>
    </w:p>
    <w:p>
      <w:r>
        <w:t>Selon le rapport 2006 d'Amnesty International, l'instruction et le procès de Khodorkovski et Lebedev ont été entachés de diverses atteintes aux normes d'équité. Nombre d'observateurs estimaient que ce procès avait été avant tout politique. Cette affaire avait mis en évidence les graves problèmes que connaissait la justice russe: manque d'indépendance du pouvoir judiciaire, contacts limités entre les accusés et leurs avocats, mauvaises conditions de détention et recours à la torture ou aux mauvais traitements pour obtenir des aveux. Selon le rapport 2006 d'Human Rights Watch, Khodorkovski et Lebedev avaient été poursuivis essentiellement parce que le Kremlin les considérait comme une menace politique. International Helsinki Federation for Human Rights relève également, dans son rapport 2006, que le procès Yukos était politiquement motivé.</w:t>
      </w:r>
    </w:p>
    <w:p>
      <w:r>
        <w:rPr>
          <w:b/>
        </w:rPr>
        <w:t>E. 3.2</w:t>
      </w:r>
    </w:p>
    <w:p>
      <w:r>
        <w:t>Une première requête a été déposée par Lebedev auprès de la CourEDH, concernant son arrestation et les conditions de sa détention préventive uniquement. Dans ses décisions des 25 novembre 2004 et 18 mai 2006, la Cour a considéré les griefs suivants comme recevables: absence de décision judiciaire relative à la période de détention du 31 mars au 6 avril 2004; absence de publicité des audiences du Tribunal de Basmanyi des 3 juillet et 26 décembre 2003; empêchement des avocats de participer à l'audience du 3 juillet 2003; examen tardif des recours formés contre les décisions des 23 décembre 2003 et 6 avril 2004; non-convocation à l'audience du 8 juin 2004; les griefs relatifs à l'équité du procès dans son ensemble ont été jugés prématurés, et ceux qui concernaient le harcèlement financier subi par Yukos ont été écartés pour défaut de légitimation. Cela étant, les griefs déclarés recevables apparaissent suffisamment nombreux, et ne portent pas sur des aspects accessoires de la procédure. L'on ne saurait donc considérer, comme l'a fait le MPC, que les dénonciations sur la nature discriminatoire de la procédure auraient été "mises à mal" par les décisions de la CourEDH.</w:t>
      </w:r>
    </w:p>
    <w:p>
      <w:r>
        <w:rPr>
          <w:b/>
        </w:rPr>
        <w:t>E. 3.3</w:t>
      </w:r>
    </w:p>
    <w:p>
      <w:r>
        <w:t>D'autres requêtes, portant sur le procès lui-même, ont été formées par Khodorkovski et Lebedev. Ceux-ci s'y plaignent du manque de temps pour préparer leur défense, tant en première instance qu'en appel, des entraves à la communication avec leurs avocats, d'avoir comparu au procès en étant maintenus enfermés dans une cage, d'avoir été jugés par un Tribunal incompétent, de n'avoir pu interroger les experts et témoins de l'accusation, de n'avoir pu produire différents avis à décharge, d'avoir subi divers procédés déloyaux de la part de l'accusation, non sanctionnés par le tribunal; sont aussi invoqués les principes de légalité, de non-rétroactivité de la loi pénale et de non-discrimination. Ces requêtes n'ont pas été examinées, et ne le seront vraisemblablement pas avant plusieurs années. Interpellée par le MPC, l'autorité requérante a pour sa part estimé prématuré de s'exprimer à ce sujet. Cela étant, l'examen critique auquel le MPC était enjoint de procéder ne pouvait se fonder uniquement sur les réfutations de l'autorité requérante.</w:t>
      </w:r>
    </w:p>
    <w:p>
      <w:r>
        <w:rPr>
          <w:b/>
        </w:rPr>
        <w:t>E. 3.4</w:t>
      </w:r>
    </w:p>
    <w:p>
      <w:r>
        <w:t>Aux griefs concernant la procédure proprement dite s'ajoutent les réserves concernant les conditions d'exécution de la peine. Khodorkovski et Lebedev ont en effet été envoyés dans des camps de prisonniers situés en Sibérie, alors que, selon le droit russe, le lieu de détention devrait se trouver à proximité du lieu de résidence ou de l'endroit où le procès s'est tenu. Ce choix du lieu de détention, dénué de motivation objective, ne peut être compris que comme une mesure d'éloignement (cf. la résolution du Parlement européen P6_TA(2006) 0270 du 15 juin 2006, relative au sommet UE-Russie du 25 mai 2006).</w:t>
      </w:r>
    </w:p>
    <w:p>
      <w:r>
        <w:rPr>
          <w:b/>
        </w:rPr>
        <w:t>E. 3.5</w:t>
      </w:r>
    </w:p>
    <w:p>
      <w:r>
        <w:t>S'agissant des faits invoqués à l'appui de la demande d'entraide, force est d'admettre que même après le prononcé et la confirmation de la condamnation, et après avoir bénéficié de nombreuses occasions de préciser sa démarche, l'autorité requérante n'a pas été en mesure d'apporter les précisions exigées dans l'arrêt du Tribunal fédéral du 6 janvier 2006. La prise de position du 4 juillet 2006 n'apporte que des réponses éparses et évasives aux questions posées par le MPC. Pour l'essentiel, l'autorité requérante y reprend largement ses précédents exposés. Le MPC a alors adressé à l'autorité requérante un catalogue de questions précises en insistant sur la nécessité de réponses exhaustives. Or, il apparaît que les réponses apportées par l'autorité requérante ne sont toujours pas satisfaisantes. Ainsi, à la question de savoir si la société OAO Apatit ou ses actionnaires avaient pâti des détournements reprochés aux accusés, l'autorité requérante n'a pas fourni de réponse; elle explique - comme précédemment - que les actionnaires ont été frustrés d'un dividende, et la société privée de bénéfices qui auraient pu être réinvestis, sans apporter aucun élément permettant d'affirmer l'existence d'un droit à la distribution de dividendes; la décision à ce sujet était prise par la majorité des actionnaires, soit les inculpés, et on ignore toujours, par ailleurs, si la société OAO Apatit s'est trouvée en difficulté en raison des détournements allégués. S'agissant des personnes qui feraient encore l'objet d'une procédure pénale, l'autorité requérante mentionne Tchernychova et Goloubovitch (s'agissant de l'acquisition en 1994 de 20% des actions Apatit), alors que l'extradition de ces deux personnes a été refusée par le Royaume-Uni et l'Italie. L'autorité requérante mentionne aussi Brudno et Gorbachev, puis se limite à ce dernier, sans préciser que celui-ci s'est réfugié au Royaume-Uni et que son extradition a également été refusée en raison des motifs politiques de la procédure. L'autorité requérante prétend vouloir disposer des renseignements provenant de la Suisse pour établir le montant du dommage, mais il ressort du jugement rendu en Russie que ce montant a été considéré comme établi sur la base d'éléments de preuve jugés suffisants. S'agissant enfin du sort des avoirs séquestrés en Suisse, l'autorité requérante ne fournit aucune indication; elle ne mentionne ni procédure de confiscation (les condamnations déjà prononcées ne sont pas assorties d'une telle mesure en rapport avec le commerce d'apatite) ni procès civil, et précise que la législation russe ne prévoit pas de procédure de confiscation. Les indications fournies ne répondent que très incomplètement aux questions, pourtant détaillées, formulées par le MPC. Elles ne permettent pas de lever les incertitudes relevées dans les arrêts du mois de janvier 2006.</w:t>
      </w:r>
    </w:p>
    <w:p>
      <w:r>
        <w:rPr>
          <w:b/>
        </w:rPr>
        <w:t>E. 3.6</w:t>
      </w:r>
    </w:p>
    <w:p>
      <w:r>
        <w:t>Enfin, s'agissant des accusations de meurtres spécifiquement formulées contre le recourant, il y a lieu de relever que l'on ne discerne toujours pas le rapport qu'il pourrait exister entre les faits décrits à ce sujet et le compte bancaire qui fait l'objet de la décision de transmission.</w:t>
      </w:r>
    </w:p>
    <w:p>
      <w:r>
        <w:rPr>
          <w:b/>
        </w:rPr>
        <w:t>E. 4</w:t>
      </w:r>
    </w:p>
    <w:p>
      <w:r>
        <w:t>L'ensemble de ces éléments corrobore clairement le soupçon selon lequel la procédure pénale serait en l'occurrence instrumentalisée par le pouvoir en place, dans le but de mettre au pas la classe des riches "oligarches" et d'écarter des adversaires politiques potentiels ou déclarés. Il s'ensuit que l'entraide judiciaire ne peut être accordée, conformément à l' art. 2 EIMP , sans qu'il y ait à s'interroger sur les autres conditions d'octroi (double incrimination, proportionnalité, infractions fiscales), et sur les divers autres griefs soulevés.</w:t>
      </w:r>
    </w:p>
    <w:p>
      <w:r>
        <w:rPr>
          <w:b/>
        </w:rPr>
        <w:t>E. 5</w:t>
      </w:r>
    </w:p>
    <w:p>
      <w:r>
        <w:t>Le recours de droit administratif est par conséquent admis, et la décision de clôture du 21 décembre 2006 est annulée, de même que les décisions d'entrée en matière et d'exécution rendues les 4 et 25 mars 2005, en tant qu'elles concernent le recourant. L'entraide judiciaire, selon la demande du 15 août 2003 et ses compléments, est refusée en ce qui concerne le recourant. Ce dernier a droit à l'allocation de dépens, mis à la charge du MPC ( art. 159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