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1A.188/2006 vom 8. Februar 2007</w:t>
      </w:r>
    </w:p>
    <w:p>
      <w:r>
        <w:t>Bundesgericht, 2007-02-08, DE</w:t>
      </w:r>
    </w:p>
    <w:p>
      <w:r>
        <w:rPr>
          <w:b/>
        </w:rPr>
        <w:t xml:space="preserve">Quelle: </w:t>
      </w:r>
      <w:r>
        <w:t>https://mcp.opencaselaw.ch/entscheid/bger_1A.188_2006</w:t>
      </w:r>
    </w:p>
    <w:p>
      <w:r>
        <w:t>FR: TF 1A.188/2006 du 8 février 2007</w:t>
      </w:r>
    </w:p>
    <w:p>
      <w:r>
        <w:t>IT: TF 1A.188/2006 del 8 febbraio 2007</w:t>
      </w:r>
    </w:p>
    <w:p>
      <w:pPr>
        <w:pStyle w:val="Heading2"/>
      </w:pPr>
      <w:r>
        <w:t>Erwägungen</w:t>
      </w:r>
    </w:p>
    <w:p>
      <w:r>
        <w:rPr>
          <w:b/>
        </w:rPr>
        <w:t>E. 1</w:t>
      </w:r>
    </w:p>
    <w:p>
      <w:r>
        <w:t>Die Beschwerde ist vom Bundesamt für Polizei im Namen des Eidgenössischen Justiz- und Polizeidepartementes erhoben worden. Dieses ist nach Art. 103 lit. b OG - vorbehältlich weiterer Voraussetzungen - grundsätzlich zur Verwaltungsgerichtsbeschwerde berechtigt. Das Regierungs- und Verwaltungsorganisationsgesetz (RVOG; SR 172.010) regelt in Art. 49 die Unterschriftsberechtigung bzw. die Delegation hierzu. Die Delegation ist auf die in dieser Bestimmung erwähnten Personengruppen beschränkt; es handelt sich um Personen im Führungskreis des Departementes (vgl. Thomas Sägesser, Regierungs- und Verwaltungsorganisationsgesetz, Bern 2007, N. 7 ff. zu Art. 49). Es ist nicht ersichtlich, dass hierzu auch Personen von Bundesämtern gehören. Nach Ziff. 7 Abs. 1 lit. a der Weisung des Eidgenössischen Justiz- und Polizeidepartementes zur Delegation der Unterschriftenberechtigung der Departementsvorsteherin/des Departementsvorstehers vom 21. Juni 2004 sind zur Unterzeichnung von Verwaltungsgerichtsbeschwerden ermächtigt die Direktionsmitglieder der Ämter, sofern das Amt gemäss der betreffenden Spezialgesetzgebung in der Sache zuständig ist; eine solche Zuständigkeit des Bundesamtes für Polizei wird nicht belegt. Vor diesem Hintergrund ist die Gültigkeit der Unterschrift fraglich. Die Frage kann indes angesichts von Art. 30 Abs. 2 OG offen bleiben.</w:t>
      </w:r>
    </w:p>
    <w:p>
      <w:r>
        <w:rPr>
          <w:b/>
        </w:rPr>
        <w:t>E. 2</w:t>
      </w:r>
    </w:p>
    <w:p>
      <w:r>
        <w:t>Die Beschwerde knüpft unmittelbar an die dem Beschwerdegegner zugekommene Mitteilung der Kommission vom 8. August 2006 an. Dieser ist in allgemeiner Weise auf die Sicht der Kommission gemäss ihrem Entscheid vom 15. Februar 2006/23. Mai 2006 hingewiesen worden; zusätzlich erhielt er ein Exemplar dieser Entscheidung.</w:t>
      </w:r>
    </w:p>
    <w:p>
      <w:r>
        <w:t>Diese blosse Mitteilung stellt keine Verfügung im Sinne von Art. 97 Abs. 1 OG in Verbindung mit Art. 5 Abs. 1 VwVG dar. Insbesondere werden keine Rechte oder Pflichten begründet, geändert oder aufgehoben, entsprechende Feststellungen getroffen oder entsprechende Begehren abgewiesen. Auch vor diesem Hintergrund ist die Zulässigkeit der vorliegenden Beschwerde fraglich. Die neu ins Verwaltungsverfahrensgesetz aufgenommene Bestimmung von Art. 25a VwVG kommt auf das vorliegende Verfahren nicht zur Anwendung.</w:t>
      </w:r>
    </w:p>
    <w:p>
      <w:r>
        <w:t>Soweit mit der Beschwerde geltend gemacht wird, die Kommission habe mit ihrer Mitteilung vom 8. August 2006 in unzulässiger Weise Auskunft erteilt und damit Bundesrecht verletzt, ist aufgrund des Schriftenwechsels und der Akten davon auszugehen, dass der Beschwerdegegner ein anonymisiertes Exemplar des Entscheides vom 15. Februar 2006/23. Mai 2006 erhalten hat; der Beschwerdeführer zieht dies nunmehr nicht mehr in Zweifel. Dieser Urteilsauszug, wie er den Akten beiliegt, enthält keinerlei Informationen, aus denen auf konkrete Datenbearbeitungen bezüglich bestimmter Personen geschlossen werden könnte. Daran vermögen weder die Gesamtumstände noch die Bezugnahme der Kommission in ihrer Mitteilung vom 8. August 2006 auf das Schreiben des Beschwerdegegners vom 1. August 2006 oder der neutral gehaltene Hinweis, dass dessen Gesuch dem Beauftragten weitergeleitet wird, etwas zu ändern. Insoweit erweist sich die Beschwerde (mit dem Antrag 1) als unbegründet.</w:t>
      </w:r>
    </w:p>
    <w:p>
      <w:r>
        <w:rPr>
          <w:b/>
        </w:rPr>
        <w:t>E. 3</w:t>
      </w:r>
    </w:p>
    <w:p>
      <w:r>
        <w:t>Mit den Anträgen 2 und 3 werden abstrakte Feststellungen über die Auslegung der entsprechenden Bundesgesetze und deren Anwendung verlangt. Feststellungsverfügungen gemäss Art. 5 Abs. 1 lit. b VwVG haben stets individuelle und konkrete Rechte und Pflichten, d.h. Rechtsfolgen zum Gegenstand; nicht feststellungsfähig ist eine abstrakte Rechtslage, wie sie sich aus einem Rechtssatz für eine Vielzahl von Personen und Tatbeständen ergibt (vgl. BGE 130 V 388 E. 2.5 S. 392, mit Hinweisen). Dementsprechend können auch im verwaltungsgerichtlichen Beschwerdeverfahren keine entsprechenden Feststellungsbegehren gestellt werden. Daher kann auf die Anträge 2 und 3 nicht eingetreten werden.</w:t>
      </w:r>
    </w:p>
    <w:p>
      <w:r>
        <w:rPr>
          <w:b/>
        </w:rPr>
        <w:t>E. 4</w:t>
      </w:r>
    </w:p>
    <w:p>
      <w:r>
        <w:t>Demnach ist die Beschwerde abzuweisen, soweit darauf eingetreten werden kann. Es sind keine Kosten zu erheben. Parteientschädigungen fallen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