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1A.183/2005 vom 9. Dezember 2005</w:t>
      </w:r>
    </w:p>
    <w:p>
      <w:r>
        <w:t>Bundesgericht, 2005-12-09, DE</w:t>
      </w:r>
    </w:p>
    <w:p>
      <w:r>
        <w:rPr>
          <w:b/>
        </w:rPr>
        <w:t xml:space="preserve">Quelle: </w:t>
      </w:r>
      <w:r>
        <w:t>https://mcp.opencaselaw.ch/entscheid/bger_1A.183_2005</w:t>
      </w:r>
    </w:p>
    <w:p>
      <w:r>
        <w:t>FR: TF 1A.183/2005 du 9 décembre 2005</w:t>
      </w:r>
    </w:p>
    <w:p>
      <w:r>
        <w:t>IT: TF 1A.183/2005 del 9 dicembre 2005</w:t>
      </w:r>
    </w:p>
    <w:p>
      <w:pPr>
        <w:pStyle w:val="Heading2"/>
      </w:pPr>
      <w:r>
        <w:t>Erwägungen</w:t>
      </w:r>
    </w:p>
    <w:p>
      <w:r>
        <w:rPr>
          <w:b/>
        </w:rPr>
        <w:t>E. 1</w:t>
      </w:r>
    </w:p>
    <w:p>
      <w:r>
        <w:t>Der Beschwerdeführer macht (S. 11 ff.) geltend, die Vorinstanz habe die Rekurslegitimation zu Unrecht verneint. Das Vorbringen ist zulässig ( BGE 124 II 124 E. 1b; 122 II 130 E. 1, mit Hinweisen; ROBERT ZIMMERMANN, La Coopération judiciaire internationale en matière pénale, 2. Aufl., Bern 2004, S. 351 N. 308). Auf die Beschwerde ist insoweit einzutreten.</w:t>
      </w:r>
    </w:p>
    <w:p>
      <w:r>
        <w:rPr>
          <w:b/>
        </w:rPr>
        <w:t>E. 2.1</w:t>
      </w:r>
    </w:p>
    <w:p>
      <w:r>
        <w:t>Gemäss Art. 80h lit. b des Bundesgesetzes vom 20. März 1981 über internationale Rechtshilfe in Strafsachen (IRSG; SR 351.1) ist zur Beschwerde berechtigt, wer persönlich und direkt von einer Rechtshilfemassnahme betroffen ist und ein schutzwürdiges Interesse an deren Aufhebung oder Änderung hat. Personen, gegen die sich das ausländische Strafverfahren richtet, sind nach Art. 21 Abs. 3 IRSG ebenfalls nur unter den gleichen Voraussetzungen zur Beschwerde befugt.</w:t>
      </w:r>
    </w:p>
    <w:p>
      <w:r>
        <w:t>Nach der Rechtsprechung liegt ein schutzwürdiges Interesse nicht schon dann vor, wenn jemand irgend eine Beziehung zum Streitobjekt zu haben behauptet. Vielmehr muss eine vom einschlägigen Bundesrecht erfasste spezifische Beziehungsnähe gegeben sein. Eine bloss mittelbare Betroffenheit genügt nicht ( BGE 128 II 211 E. 2.3 S. 217 mit Hinweisen). Als persönlich und direkt betroffen gilt bei der Erhebung von Kontoinformationen der Kontoinhaber ( Art. 9a lit. a der Verordnung vom 24. Februar 1982 über internationale Rechtshilfe in Strafsachen [IRSV; SR 351.11] ). Der am Konto nur wirtschaftlich Berechtigte ist grundsätzlich nicht zur Beschwerde befugt. Eine Ausnahme gilt dann, wenn die juristische Person, die als Kontoinhaberin geführt wird, nicht mehr besteht ( BGE 123 II 153 E. 2). Der wirtschaftlich Berechtigte muss die Auflösung der juristischen Person mit amtlichen Dokumenten beweisen (Urteile 1A.10/2000 vom 18. Mai 2000 E. 1e und 1A.131/1999 vom 26. August 1999 E. 3b; ZIMMERMANN, a.a.O., S. 352 Fn. 2088). Nicht zur Beschwerde befugt ist der Verfasser von Schriftstücken, die im Besitze eines Dritten beschlagnahmt werden ( BGE 130 II 162 E. 1.1 S. 164; 123 II 161 E. 1d S. 164 f.; 116 Ib 106 E. 2a S. 109 ff.); ebenso wenig eine Drittperson, die in Kontounterlagen erwähnt ist, etwa als Empfänger einer vom Kontoinhaber vorgenommenen Überweisung ( BGE 128 II 211 E. 2.3 S. 218 mit Hinweisen).</w:t>
      </w:r>
    </w:p>
    <w:p>
      <w:r>
        <w:rPr>
          <w:b/>
        </w:rPr>
        <w:t>E. 2.2</w:t>
      </w:r>
    </w:p>
    <w:p>
      <w:r>
        <w:t>Der Beschwerdeführer ist nicht Inhaber der beiden Konten, über welche der ersuchenden Behörde Auskunft erteilt werden soll. Inhaber des Kontos bei der Bank A.________ ist die Firma L.________; des Kontos bei der Bank B.________ die Stiftung S.________. Der Beschwerdeführer stellt das nicht in Frage. Er macht auch nicht geltend, eine dieser beiden juristischen Personen bestehe nicht mehr. Erst recht belegt er dies nicht mit amtlichen Dokumenten. Die Firma L.________ und die Stiftung S.________ konnten somit Rekurs erheben. Damit hatte die Vorinstanz keinen Grund, dem Beschwerdeführer die Rekurslegitimation zuzuerkennen. Wie sie (S. 5 E. 2) zutreffend darlegt, war der Beschwerdeführer als lediglich wirtschaftlich Berechtigter an zwei Unterkonten des Kontos Nr. 1 und als in den Unterlagen des Kontos Nr. 2 Erwähnter nicht zum Rekurs befugt.</w:t>
      </w:r>
    </w:p>
    <w:p>
      <w:r>
        <w:t>Die Erwägungen der Vorinstanz sind in keiner Weise zu beanstanden. Sie hat im Lichte der Rechtsprechung die Rekurslegitimation offensichtlich zu Recht verneint.</w:t>
      </w:r>
    </w:p>
    <w:p>
      <w:r>
        <w:rPr>
          <w:b/>
        </w:rPr>
        <w:t>E. 2.3</w:t>
      </w:r>
    </w:p>
    <w:p>
      <w:r>
        <w:t>Gegenstand des vorliegenden Verfahrens ist allein die Frage der Rekurslegitimation. Auf die darüber hinausgehenden umfangreichen Ausführungen in der Beschwerde ist deshalb nicht einzutreten.</w:t>
      </w:r>
    </w:p>
    <w:p>
      <w:r>
        <w:t>Da die Sache klar und spruchreif ist, erübrigt sich die beantragte Parteiverhandlung.</w:t>
      </w:r>
    </w:p>
    <w:p>
      <w:r>
        <w:t>Mit dem vorliegenden Entscheid ist das Gesuch um aufschiebende Wirkung hinfällig. Die Beschwerde hatte im Übrigen ohnehin von Gesetzes wegen aufschiebende Wirkung ( Art. 21 Abs. 4 lit. b und Art. 80l Abs. 1 IRSG ).</w:t>
      </w:r>
    </w:p>
    <w:p>
      <w:r>
        <w:rPr>
          <w:b/>
        </w:rPr>
        <w:t>E. 3</w:t>
      </w:r>
    </w:p>
    <w:p>
      <w:r>
        <w:t>Die Beschwerde ist abzuweisen, soweit darauf eingetreten werden kann.</w:t>
      </w:r>
    </w:p>
    <w:p>
      <w:r>
        <w:t>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