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1A.180/2004 vom 1. Oktober 2004</w:t>
      </w:r>
    </w:p>
    <w:p>
      <w:r>
        <w:t>Bundesgericht, 2004-10-01, DE</w:t>
      </w:r>
    </w:p>
    <w:p>
      <w:r>
        <w:rPr>
          <w:b/>
        </w:rPr>
        <w:t xml:space="preserve">Quelle: </w:t>
      </w:r>
      <w:r>
        <w:t>https://mcp.opencaselaw.ch/entscheid/bger_1A.180_2004</w:t>
      </w:r>
    </w:p>
    <w:p>
      <w:r>
        <w:t>FR: TF 1A.180/2004 du 1 octobre 2004</w:t>
      </w:r>
    </w:p>
    <w:p>
      <w:r>
        <w:t>IT: TF 1A.180/2004 del 1 ottobre 2004</w:t>
      </w:r>
    </w:p>
    <w:p>
      <w:pPr>
        <w:pStyle w:val="Heading2"/>
      </w:pPr>
      <w:r>
        <w:t>Regeste</w:t>
      </w:r>
    </w:p>
    <w:p>
      <w:r>
        <w:t>Verkehr (ohne Strassenverkehr)</w:t>
      </w:r>
    </w:p>
    <w:p>
      <w:pPr>
        <w:pStyle w:val="Heading2"/>
      </w:pPr>
      <w:r>
        <w:t>Erwägungen</w:t>
      </w:r>
    </w:p>
    <w:p>
      <w:r>
        <w:rPr>
          <w:b/>
        </w:rPr>
        <w:t>E. 1</w:t>
      </w:r>
    </w:p>
    <w:p>
      <w:r>
        <w:t>Angefochten ist eine Zwischenverfügung über Gesuche um aufschiebende Wirkung bzw. um Wiedererteilung der aufschiebenden Wirkung. Zwischenverfügungen unterstehen der Verwaltungsgerichtsbeschwerde, wenn sie einen nicht wiedergutzumachenden Nachteil bewirken können ( Art. 97 OG in Verbindung mit Art. 5 und 45 Abs. 1 VwVG ) und wenn auch die nachmalige Endverfügung der Verwaltungsgerichtsbarkeit unterliegt ( Art. 101 lit. a OG e contrario). Ob diese Voraussetzungen hier erfüllt seien, ist fraglich. Wohl kann die Verwaltungsgerichtsbeschwerde gemäss der Ausnahmebestimmung von Art. 99 Abs. 2 lit. c OG gegen die Genehmigung von Betriebsreglementen für Flugplätze gerichtet werden. Die Beschwerdeführer legen jedoch nicht dar, inwiefern während der Dauer des vorinstanzlichen Verfahrens ein nicht wiedergutzumachender Nachteil eintreten könnte, falls ihrer Beschwerde die aufschiebende Wirkung nicht wieder beigelegt werde. Ob die reine Behauptung, der Entzug der aufschiebenden Wirkung hätte lärmmässig "fatale Folgen für die Bewohner im weiteren Bereich unter der Anflugschneise", für die Darlegung eines solchen Nachteils genüge, ist zweifelhaft. Die Frage kann indes offen bleiben, da sich die eingereichte Verwaltungsgerichtsbeschwerde, soweit auf sie einzutreten ist, als offensichtlich unbegründet erweist.</w:t>
      </w:r>
    </w:p>
    <w:p>
      <w:r>
        <w:rPr>
          <w:b/>
        </w:rPr>
        <w:t>E. 2</w:t>
      </w:r>
    </w:p>
    <w:p>
      <w:r>
        <w:t>Weder in der Verwaltungsgerichtsbeschwerde noch in der Beschwerde an die Rekurskommission INUM wird ausgeführt, ob es sich bei der "Fluglärmsolidarität" um einen Verein im Sinne von Art. 60 ff. ZGB handle, welche statutarischen Zwecke dieser allenfalls verfolge und ob ein erheblicher Teil seiner Mitglieder selbst zur Beschwerde berechtigt wäre. Da jedoch davon ausgegangen werden darf, dass zumindest einige der mitbeteiligten Beschwerdeführer (gemäss Angaben vor der Vorinstanz mehrere Hundert Personen) als Anwohner im Osten des Flughafens Zürich vom neuen Anflugverfahren stärker betroffen sind als die Allgemeinheit, kann auf eine Nachfristansetzung ( Art. 108 Abs. 3 OG ) zur Beibringung von Unterlagen betreffend die Legitimationsvoraussetzungen verzichtet werden.</w:t>
      </w:r>
    </w:p>
    <w:p>
      <w:r>
        <w:rPr>
          <w:b/>
        </w:rPr>
        <w:t>E. 3</w:t>
      </w:r>
    </w:p>
    <w:p>
      <w:r>
        <w:t>Die Beschwerdeführer stellen vor Bundesgericht nicht mehr in Abrede, dass das CANPA-Anflugverfahren die Sicherheit der Landungen zu verbessern vermag. Sie bringen jedoch wie erwähnt vor, infolge des flacheren Anflugwinkels würden die etwas weiter entfernten Regionen östlich des Flughafens tiefer überflogen und deren Bewohner von stärkeren Lärmimmissionen betroffen. Der neue Anflugwinkel wird sich indessen, wie sich auch aus dem Bericht Nr. 425'457-1 vom 13. August 2002 der EMPA ergibt, lärmmässig nicht merkbar auf die Bewohner der Anflugschneise Ost auswirken. Eine allfällige Mehrbelastung der entfernteren Ost-Gemeinden ist vielmehr auf die Verlegung der Anflugroute zurückzuführen. Selbst wenn übrigens das CANPA-Anflugverfahren eine etwas höhere Lärmbelastung zur Folge hätte, wäre dies noch kein genügender Grund, dessen Einführung hinauszuschieben, da das neue Verfahren aus Sicherheitsgründen angeordnet worden ist und den Sicherheitsbelangen - wie im angefochtenen Entscheid zu Recht ausgeführt wird - erste Priorität eingeräumt werden muss.</w:t>
      </w:r>
    </w:p>
    <w:p>
      <w:r>
        <w:rPr>
          <w:b/>
        </w:rPr>
        <w:t>E. 4</w:t>
      </w:r>
    </w:p>
    <w:p>
      <w:r>
        <w:t>Die Beschwerdeführer machen weiter geltend, dass die bereits erfolgte Publikation des CANPA 28 im AIP ohne weiteres wieder rückgängig gemacht und das bisherige VOR/DME-Anflugverfahren sofort wieder angeordnet werden könnte. Ob dies zutrifft oder nicht, spielt jedoch keine Rolle, nachdem festgestellt worden ist, dass die CANPA-Anflüge aus Sicherheitsgründen vorzuziehen und daher unverzüglich einzuführen sind. Nicht Streitgegenstand ist im vorliegenden Verfahren die Frage, ob die heutigen Ostanflüge verlegt und vermehrt Landungen von Süden her auf die Piste 34 vorgenommen werden sollten. Die betreffenden Ausführungen der Beschwerdeführer stossen daher ins Leere.</w:t>
      </w:r>
    </w:p>
    <w:p>
      <w:r>
        <w:rPr>
          <w:b/>
        </w:rPr>
        <w:t>E. 5</w:t>
      </w:r>
    </w:p>
    <w:p>
      <w:r>
        <w:t>Die Verwaltungsgerichtsbeschwerde ist nach dem Gesagten als offensichtlich unbegründet abzuweisen, soweit überhaupt auf sie einzutreten ist. Die bundesgerichtlichen Kosten sind dem Verfahrensausgang entsprechend den Beschwerdeführern zu überbinden ( Art. 156 Abs. 1 OG ). Diese haben der Flughafen Zürich AG zudem eine angemessene Parteientschädigung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