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1A.180/2002 vom 19. November 2002</w:t>
      </w:r>
    </w:p>
    <w:p>
      <w:r>
        <w:t>Bundesgericht, 2002-11-19, FR</w:t>
      </w:r>
    </w:p>
    <w:p>
      <w:r>
        <w:rPr>
          <w:b/>
        </w:rPr>
        <w:t xml:space="preserve">Quelle: </w:t>
      </w:r>
      <w:r>
        <w:t>https://mcp.opencaselaw.ch/entscheid/bger_1A.180_2002</w:t>
      </w:r>
    </w:p>
    <w:p>
      <w:r>
        <w:t>FR: TF 1A.180/2002 du 19 novembre 2002</w:t>
      </w:r>
    </w:p>
    <w:p>
      <w:r>
        <w:t>IT: TF 1A.180/2002 del 19 novembre 2002</w:t>
      </w:r>
    </w:p>
    <w:p>
      <w:pPr>
        <w:pStyle w:val="Heading2"/>
      </w:pPr>
      <w:r>
        <w:t>Regeste</w:t>
      </w:r>
    </w:p>
    <w:p>
      <w:r>
        <w:t>Aménagement du territoire et droit public des constructions</w:t>
      </w:r>
    </w:p>
    <w:p>
      <w:pPr>
        <w:pStyle w:val="Heading2"/>
      </w:pPr>
      <w:r>
        <w:t>Erwägungen</w:t>
      </w:r>
    </w:p>
    <w:p>
      <w:r>
        <w:rPr>
          <w:b/>
        </w:rPr>
        <w:t>E. 1.1</w:t>
      </w:r>
    </w:p>
    <w:p>
      <w:r>
        <w:t>Aux termes de l' art. 34 al. 1 LAT , la voie du recours de droit administratif est ouverte contre les décisions prises par l'autorité cantonale de dernière instance à propos de la reconnaissance de la conformité à l'affectation de la zone de constructions et d'installations sises hors de la zone à bâtir et sur des demandes de dérogation selon les art. 24 à 24d LAT.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128 I 46 consid. 1b/aa p. 49; 128 II 56 consid. 1a/aa p. 58, 259 consid. 1.2 p. 262/263, et les arrêts cités). En particulier, les décisions cantonales de dernière instance relatives au maintien ou à la démolition d'ouvrages sis hors de la zone à bâtir peuvent être attaquées par la voie du recours de droit administratif, empruntée en l'occurrence ( ATF 123 II 248 consid. 4 p. 254ss; 111 Ib 213 consid. 6 p. 221ss).</w:t>
      </w:r>
    </w:p>
    <w:p>
      <w:r>
        <w:rPr>
          <w:b/>
        </w:rPr>
        <w:t>E. 1.2</w:t>
      </w:r>
    </w:p>
    <w:p>
      <w:r>
        <w:t>L'Office fédéral a qualité pour agir ( art. 34 al. 1 LAT , mis en relation avec les art. 48 al. 4 OAT et 103 let. b OJ; cf. ATF 113 Ib 219 consid. 1b p. 221).</w:t>
      </w:r>
    </w:p>
    <w:p>
      <w:r>
        <w:rPr>
          <w:b/>
        </w:rPr>
        <w:t>E. 1.3</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w:t>
      </w:r>
    </w:p>
    <w:p>
      <w:r>
        <w:rPr>
          <w:b/>
        </w:rPr>
        <w:t>E. 1.4</w:t>
      </w:r>
    </w:p>
    <w:p>
      <w:r>
        <w:t>Le Tribunal administratif a admis partiellement le recours dirigé contre la décision du Département cantonal. Après avoir constaté que les travaux d'agrandissement n'étaient pas conformes à la destination de la zone, le Tribunal administratif en a confirmé l'ordre de suppression. En revanche, il a tenu pour bien-fondé le grief relatif au montant de l'amende, dont il a réduit le montant de moitié. Sur ces points, l'arrêt attaqué est entré en force. Il n'y a ainsi plus lieu, dans le cadre de la présente procédure, d'y revenir. L'arrêt attaqué est remis en discussion uniquement pour ce qui concerne la décision prise par le Conseil d'Etat le 21 novembre 2001, que le Tribunal administratif a annulée en ordonnant le maintien à titre précaire de l'agrandissement du bâtiment n°783. En cela, le Tribunal administratif n'a pas donné entièrement gain de cause à S.________, qui avait demandé le maintien à titre précaire de tout le bâtiment n°783, et non point seulement de son agrandissement. Même si cela a, semble-t-il, échappé à la cour cantonale, l'objet du recours est ainsi limité à la question de savoir si les travaux d'agrandissement du bâtiment n°783 peuvent être maintenus comme l'a décidé le Tribunal administratif, ou s'ils doivent être supprimés comme le demandent l'Office fédéral et le Département cantonal.</w:t>
      </w:r>
    </w:p>
    <w:p>
      <w:r>
        <w:rPr>
          <w:b/>
        </w:rPr>
        <w:t>E. 2</w:t>
      </w:r>
    </w:p>
    <w:p>
      <w:r>
        <w:t>Il est constant que les travaux litigieux, entrepris sans autorisation, ne pouvaient être autorisés ultérieurement. Pour admettre qu'ils pouvaient néanmoins être maintenus, le Tribunal administratif s'est référé à l'art. 139 al.1 LCI. Aux termes de cette disposition, le Conseil d'Etat peut laisser subsister, à titre précaire et moyennant redevance, une construction ou une installation qui n'est pas conforme à l'autorisation ou qui, édifiée sans autorisation, n'est pas conforme aux prescriptions applicables; il faut pour cela que l'ouvrage en question ne nuise pas à la sécurité, à la salubrité ou à l'esthétique.</w:t>
      </w:r>
    </w:p>
    <w:p>
      <w:r>
        <w:rPr>
          <w:b/>
        </w:rPr>
        <w:t>E. 2.1</w:t>
      </w:r>
    </w:p>
    <w:p>
      <w:r>
        <w:t>Lorsque l'autorité octroie une autorisation de maintien à tire précaire selon l'art. 139 al. 1 LCI, sa décision a pratiquement pour effet d'accorder une dérogation hors de la zone à bâtir selon les art. 24ss LAT ( ATF 107 Ib 170 consid. 2b p. 174, relatif à l'art. 208 de l'ancienne LCI, de teneur identique à l'actuel art. 139 al. 1 LCI; cf. aussi l'arrêt 1A.75/1991 du 13 février 1992, consid. 1b), à l'égard desquels l'art. 139 al. 1 LCI n'a pas de portée propre (arrêt 1A.75/1991, précité, consid. 2 in fine).</w:t>
      </w:r>
    </w:p>
    <w:p>
      <w:r>
        <w:rPr>
          <w:b/>
        </w:rPr>
        <w:t>E. 2.2</w:t>
      </w:r>
    </w:p>
    <w:p>
      <w:r>
        <w:t>A teneur de l' art. 24 LAT , des autorisations peuvent être délivrées pour de nouvelles constructions ou installations ou pour tout changement d'affectation si l'implantation de ces installations ou constructions hors de la zone à bâtir est imposée par leur destination (let. a) et si aucun intérêt prépondérant ne s'y oppose (let. b). Pour qu'une construction soit imposée par sa destination, il faut toujours que des raisons objectives - techniques, économiques ou découlant de la configuration du sol - justifient la réalisation de l'ouvrage projeté à l'emplacement prévu. Il n'y a pas lieu de prendre en compte les représentations subjectives ou les considérations de convenance personnelle du constructeur ( ATF 123 II 499 consid. 3b/cc p. 508, et les arrêts cités). En l'occurrence, personne ne soutient que les travaux litigieux, consistant à agrandir une maisonnette de week-end, seraient imposés par la destination de la zone agricole.</w:t>
      </w:r>
    </w:p>
    <w:p>
      <w:r>
        <w:rPr>
          <w:b/>
        </w:rPr>
        <w:t>E. 2.3</w:t>
      </w:r>
    </w:p>
    <w:p>
      <w:r>
        <w:t>Hors de la zone à bâtir, l'autorité compétente peut autoriser l'agrandissement mesuré d'une construction utilisée conformément à sa destination, mais qui n'est plus conforme à l'affectation de la zone, pour autant qu'elle ait été édifiée légalement; dans tous les cas, les exigences majeures de l'aménagement du territoire doivent être satisfaites ( art. 24c LAT ). Cette disposition ne s'applique pas en l'occurrence: le bâtiment n°783 a été construit sans autorisation et ce défaut n'a jamais été guéri. L'octroi d'une autorisation dérogatoire n'entre dès lors plus en considération. En admettant le contraire, le Tribunal administratif a donné à l'art. 139 al. 1 LCI une portée autonome, incompatible avec le droit fédéral.</w:t>
      </w:r>
    </w:p>
    <w:p>
      <w:r>
        <w:rPr>
          <w:b/>
        </w:rPr>
        <w:t>E. 3</w:t>
      </w:r>
    </w:p>
    <w:p>
      <w:r>
        <w:t>Il reste à examiner si la suppression des travaux d'agrandissement et le rétablissement de l'état antérieur ne porteraient pas une atteinte disproportionnée au droit de propriété de l'intimé.</w:t>
      </w:r>
    </w:p>
    <w:p>
      <w:r>
        <w:rPr>
          <w:b/>
        </w:rPr>
        <w:t>E. 3.1</w:t>
      </w:r>
    </w:p>
    <w:p>
      <w:r>
        <w:t>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 4 p. 254ss; 111 Ib 213 consid. 6 p. 221ss; 108 Ia 216 consid. 4 p. 217; cf. aussi l'arrêt 1A.110/2001 du 4 décembre 2001, consid. 4-7).</w:t>
      </w:r>
    </w:p>
    <w:p>
      <w:r>
        <w:rPr>
          <w:b/>
        </w:rPr>
        <w:t>E. 3.2</w:t>
      </w:r>
    </w:p>
    <w:p>
      <w:r>
        <w:t>L'agrandissement en question a eu pour effet de porter la surface habitable du bâtiment n°783 de 31 à 55 m2. L'intimé objecte à cela que ces travaux auront aussi pour effet de supprimer le cabanon, ainsi qu'une autre petite construction adjacente. Il perd cependant de vue que les possibilités d'utilisation de la maisonnette seront considérablement augmentées: en plus de la cuisine et de la chambre existantes, il pourrait disposer d'une deuxième chambre, d'une douche et de toilettes. Avec le raccordement au réseau de canalisation et de l'électricité, et les travaux de rénovation effectués, ce bâtiment utilisé jusque là en fin de semaine pourrait devenir habitable en permanence. L'intérêt public lié à la préservation de la destination agricole de la zone, déjà mis à mal par la construction de ce bâtiment, s'en trouverait encore plus compromis. Pour le surplus, ces travaux ne peuvent être autorisés après coup et l'intimé ne saurait avoir agi de bonne foi. Exerçant une activité indépendante dans le domaine de la construction, il ne pouvait en effet ignorer que les travaux entrepris étaient soumis à autorisation. Il ne le prétend pas, au demeurant.</w:t>
      </w:r>
    </w:p>
    <w:p>
      <w:r>
        <w:rPr>
          <w:b/>
        </w:rPr>
        <w:t>E. 4</w:t>
      </w:r>
    </w:p>
    <w:p>
      <w:r>
        <w:t>Le recours doit ainsi être admis et l'arrêt attaqué annulé en tant qu'il accorde à S.________ l'autorisation de maintenir à titre précaire l'agrandissement du bâtiment n°783 (cause cantonale A/1291/2001). Les frais sont mis à la charge de S.________ ( art. 156 OJ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