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1A.179/2004 vom 24. September 2004</w:t>
      </w:r>
    </w:p>
    <w:p>
      <w:r>
        <w:t>Bundesgericht, 2004-09-24, FR</w:t>
      </w:r>
    </w:p>
    <w:p>
      <w:r>
        <w:rPr>
          <w:b/>
        </w:rPr>
        <w:t xml:space="preserve">Quelle: </w:t>
      </w:r>
      <w:r>
        <w:t>https://mcp.opencaselaw.ch/entscheid/bger_1A.179_2004</w:t>
      </w:r>
    </w:p>
    <w:p>
      <w:r>
        <w:t>FR: TF 1A.179/2004 du 24 septembre 2004</w:t>
      </w:r>
    </w:p>
    <w:p>
      <w:r>
        <w:t>IT: TF 1A.179/2004 del 24 settembre 2004</w:t>
      </w:r>
    </w:p>
    <w:p>
      <w:pPr>
        <w:pStyle w:val="Heading2"/>
      </w:pPr>
      <w:r>
        <w:t>Erwägungen</w:t>
      </w:r>
    </w:p>
    <w:p>
      <w:r>
        <w:rPr>
          <w:b/>
        </w:rPr>
        <w:t>E. 1</w:t>
      </w:r>
    </w:p>
    <w:p>
      <w:r>
        <w:t>Le 22 juin 1888, la Confédération et la République de l'Equateur ont conclu un arrangement provisoire sur l'extradition des malfaiteurs et l'exécution des commissions rogatoires, entré en vigueur le 21 octobre 1889 (ci-après: l'Arrangement; RS 0.353.932.7). Dans l'attente d'un traité qui n'a jamais vu le jour, cet instrument pose le principe que chacun des Etats reconnaît à l'autre dans cette matière tous les droits accordés à un autre Etat non limitrophe; la présentation d'une demande entraîne en outre de plein droit la promesse de la réciprocité (art. 1).</w:t>
      </w:r>
    </w:p>
    <w:p>
      <w:r>
        <w:t>Hormis ce dernier point, la portée de l'Arrangement n'est pas claire. On peut se demander s'il établit à la charge de l'Etat requis une obligation d'extrader dès que les conditions du traité sont remplies, à l'instar de ce que fait par exemple la CEExtr. En pareil cas, encore faudrait-il se demander quel traité, passé avec un Etat non limitrophe, devrait être pris en compte. Pour la Suisse comme Etat requis, pourraient théoriquement entrer en considération les traités d'extradition passés notamment avec l'Argentine, l'Australie, le Brésil, le Canada, les Etats-Unis d'Amérique, la Principauté de Monaco, le Paraguay, les Philippines et l'Uruguay, pour ne prendre que ces exemples. Compte tenu du caractère provisoire de l'Arrangement adopté il y a plus d'un siècle, il faut admettre que la matière est régie exclusivement par le droit interne de la Suisse, soit en l'occurrence l'EIMP (cf. ATF 111 Ib 138 consid. 2 p. 141).</w:t>
      </w:r>
    </w:p>
    <w:p>
      <w:r>
        <w:rPr>
          <w:b/>
        </w:rPr>
        <w:t>E. 2</w:t>
      </w:r>
    </w:p>
    <w:p>
      <w:r>
        <w:t>La décision de l'Office fédéral accordant l'extradition peut faire l'objet d'un recours de droit administratif au Tribunal fédéral en vertu de l' art. 55 al. 3 EIMP mis en relation avec l'art. 25 de la même loi ( ATF 122 II 373 consid. 1b p. 375). Lorsque, comme en l'espèce, l'Office fédéral a statué simultanément sur l'octroi de l'extradition et le respect des garanties données par l'Etat requérant selon l' art. 80p al. 3 EIMP , le recours de droit administratif absorbe la procédure de contrôle selon l' art. 80p al. 4 EIMP ( ATF 123 II 511 consid. 4b p. 515/516). La personne recherchée qui est placée en détention extraditionnelle, peut demander sa libération immédiate à l'appui du recours de droit administratif ( ATF 117 IV 359 consid. 1a p. 360/361).</w:t>
      </w:r>
    </w:p>
    <w:p>
      <w:r>
        <w:rPr>
          <w:b/>
        </w:rPr>
        <w:t>E. 3</w:t>
      </w:r>
    </w:p>
    <w:p>
      <w:r>
        <w:t>Il convient d'examiner en premier lieu la validité des garanties offertes par l'Etat requérant.</w:t>
      </w:r>
    </w:p>
    <w:p>
      <w:r>
        <w:rPr>
          <w:b/>
        </w:rPr>
        <w:t>E. 3.1</w:t>
      </w:r>
    </w:p>
    <w:p>
      <w:r>
        <w:t>Les garanties requises selon les notes diplomatiques des 24 décembre 2003 et 9 janvier 2004 portent sur la réciprocité (let. a) - exigence qui peut paraître superflue au regard de l'art. 1 de l'Arrangement; sur le respect des droits garantis par le Pacte ONU II (let. b) et plus spécialement le droit de recourir (art. 2 ch. 3), la garantie de la liberté personnelle (art. 9), l'égalité devant la loi et les garanties de procédure (art. 14 et 15) et l'interdiction de toute discrimination (art. 26); sur l'interdiction des tribunaux d'exception (let. c), de la peine de mort (let. d) et de la torture (let. e et h, art. 7, 10 et 17 Pacte ONU II ); sur le respect du principe de la spécialité (let. f); sur les droits de l'extradé à communiquer avec la représentation officielle de la Suisse (let. g). Le recourant ne conteste pas que ce catalogue soit complet.</w:t>
      </w:r>
    </w:p>
    <w:p>
      <w:r>
        <w:rPr>
          <w:b/>
        </w:rPr>
        <w:t>E. 3.2</w:t>
      </w:r>
    </w:p>
    <w:p>
      <w:r>
        <w:t>Le 1er mars 2004, le Président de la Cour suprême de l'Equateur a établi une note à l'intention de l'Office fédéral, transmise le 22 mars suivant. Ce document indique que les conditions posées par l'Office fédéral (désignées sous les let. a à h ci-dessus) seront respectées par l'Equateur, car déjà garanties par le droit interne, ainsi que par le Pacte ONU II. Comme l'Office fédéral a considéré que l'engagement de l'Etat requérant ne couvrait pas les garanties requises au sens des let. a, f, g et h, il a, le 30 mars 2004, demandé une déclaration complémentaire sur ce point, ce à quoi les autorités équatoriennes se sont pliées, le 19 avril 2004.</w:t>
      </w:r>
    </w:p>
    <w:p>
      <w:r>
        <w:t>D'un point de vue formel, les assurances données par l'Etat requérant sont insuffisantes. En effet, elles ne portent expressément que sur les points mentionnés aux let. a, f, g et h des notes des 24 décembre 2003 et 9 janvier 2004. Pour le surplus, l'Etat requérant s'est borné à un simple renvoi aux dispositions de son droit interne, soit la Constitution, le Code pénal, le Code de procédure pénale et la loi d'extradition, ainsi qu'aux instruments internationaux applicables pour lui. Ce procédé ne constitue pas un engagement conforme à l' art. 80p EIMP (arrêt 1A.294/1997 du 22 décembre 1997). Il est en effet présumé que l'Etat requérant s'en tient aux dispositions de son droit interne et aux traités qui le lient, notamment les conventions et pactes internationaux garantissant les droits de l'homme. Si cette présomption était suffisante, l' art. 80p EIMP n'aurait pas de raison d'être. C'est précisément pour se prémunir de tout risque de violation des droits fondamentaux que la Suisse se réserve le droit de poser, de cas en cas, des conditions supplémentaires à la coopération internationale, en exigeant des garanties précises, qui ne sont pas d'application générale, mais visent la personne et la situation particulière considérées. Au regard de ces principes, l'Office fédéral aurait dû inviter les autorités équatoriennes à donner dans le cas concret des assurances reprenant intégralement et textuellement les conditions formulées dans les notes des 24 décembre 2003 et 9 janvier 2004, y compris celles visées aux let. b, c, d et e. En omettant de le faire, l'Office fédéral a violé l' art. 80p EIMP .</w:t>
      </w:r>
    </w:p>
    <w:p>
      <w:r>
        <w:rPr>
          <w:b/>
        </w:rPr>
        <w:t>E. 4</w:t>
      </w:r>
    </w:p>
    <w:p>
      <w:r>
        <w:t>Le recours doit être admis pour ce seul motif et sans qu'il soit nécessaire d'examiner les autres questions que soulève l'affaire. La décision attaquée doit être annulée et la cause renvoyée à l'Office fédéral pour qu'il invite l'Etat requérant à donner toutes les garanties requises selon ce qui est mentionné au considérant précédent. Dans l'intervalle, la détention extraditionnelle du recourant est maintenue. Eu égard au fait que le recourant est détenu depuis plus de neuf mois, l'Office fédéral est invité à agir sans désemparer. Il est statué sans frais ( art. 156 OJ ). L'Office fédéral versera au recourant une indemnité pour ses dépens ( art. 159 OJ ).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