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1A.177/2000 vom 1. November 2000</w:t>
      </w:r>
    </w:p>
    <w:p>
      <w:r>
        <w:t>Bundesgericht, 2000-11-01, DE</w:t>
      </w:r>
    </w:p>
    <w:p>
      <w:r>
        <w:rPr>
          <w:b/>
        </w:rPr>
        <w:t xml:space="preserve">Quelle: </w:t>
      </w:r>
      <w:r>
        <w:t>https://mcp.opencaselaw.ch/entscheid/bger_1A.177_2000</w:t>
      </w:r>
    </w:p>
    <w:p>
      <w:r>
        <w:t>FR: TF 1A.177/2000 du 1 novembre 2000</w:t>
      </w:r>
    </w:p>
    <w:p>
      <w:r>
        <w:t>IT: TF 1A.177/2000 del 1 novembre 2000</w:t>
      </w:r>
    </w:p>
    <w:p>
      <w:pPr>
        <w:pStyle w:val="Heading2"/>
      </w:pPr>
      <w:r>
        <w:t>Regeste</w:t>
      </w:r>
    </w:p>
    <w:p>
      <w:r>
        <w:t>Raumplanung und öffentliches Baurecht</w:t>
      </w:r>
    </w:p>
    <w:p>
      <w:pPr>
        <w:pStyle w:val="Heading2"/>
      </w:pPr>
      <w:r>
        <w:t>Erwägungen</w:t>
      </w:r>
    </w:p>
    <w:p>
      <w:r>
        <w:rPr>
          <w:b/>
        </w:rPr>
        <w:t>E. 1</w:t>
      </w:r>
    </w:p>
    <w:p>
      <w:r>
        <w:t>a) Angesichts der Subsidiarität der staatsrechtlichen Beschwerde ( Art. 84 Abs. 2 OG ) ist vorerst zu prüfen, ob die (rechtzeitig erhobene) Verwaltungsgerichtsbeschwerde zulässig und allenfalls begründet ist. Die Prüfung der Zulässigkeit nimmt das Bundesgericht mit freier Kognition vor ( BGE 126 I 50 E. 1 S. 52, mit Hinweisen). Nach Art. 97 ff. OG in Verbindung mit Art. 5 VwVG ist die Verwaltungsgerichtsbeschwerde zulässig gegen Verfügungen, die sich auf öffentliches Recht des Bundes stützen oder hätten stützen müssen ( BGE 126 I 50 E. 1 S. 52, mit Hinweisen). b) Das Verwaltungsgericht hat sich auf die Rügen der Beschwerdeführenden hin ausführlich zur Verkehrssicherheit im Bereiche der Einfahrt in die Dachslerenstrasse geäussert. Es stützte sich auf § 237 und 240 des zürcherischen Gesetzes über die Raumplanung und das öffentliche Baurecht (PBG) und § 5 der Verkehrssicherheitsverordnung sowie den dazu gehörigen Normalien. Es brachte damit ausschliesslich kantonales Recht zur Anwendung. Daran vermag der Umstand nichts zu ändern, dass es eine Verletzung von Art. 77 Abs. 2 der Signalisationsverordnung (SSV, SR 741. 21) verneinte. Damit beruht der angefochtene Entscheid nicht auf öffentlichem Recht des Bundes, weshalb die Verwaltungsgerichtsbeschwerde nach Art. 97 OG ausgeschlossen ist. c) Weiter ist zu prüfen, ob das Verwaltungsgericht eidgenössisches Recht hätte anwenden müssen, wie die Beschwerdeführenden vortragen. Die Signalisationsverordnung des Bundes regelt u.a. die Signale und Markierungen im Bereiche von Strassen sowie die Verkehrsanordnungen und Verkehrsbeschränkungen ( Art. 1 Abs. 1 SSV ). Die Signale gelten grundsätzlich für alle Strassenbenützer ( Art. 2 Abs. 1 SSV ). Nach der von den Beschwerdeführenden angerufenen Bestimmung von Art. 77 Abs. 2 SSV ist vor Fussgängerstreifen eine mindestens 10m lange Halteverbotslinie am rechten Strassenrand anzubringen und das freiwillige Halten auf der Fahrbahn und dem Trottoir untersagt. Daraus geht hervor, dass das Bundesrecht den eigentlichen Strassenbereich zum Gegenstand hat. Demgegenüber hatte das Verwaltungsgericht zu beurteilen, ob die Zufahrt im Lichte von § 237 und 240 PBG hinreichende Sicherheit gewährleiste. Diese Frage richtet sich einzig nach dem kantonalen Recht. Das Bundesrecht kommt nicht direkt zur Anwendung, auch wenn es in die Beurteilung der Verkehrssicherheit mit einzubeziehen ist. Daraus ergibt sich, dass das Verwaltungsgericht entgegen der Auffassung der Beschwerdeführenden für den Bereich der Einfahrt nicht Bundesrecht hätte anwenden müssen. Demnach ist die Verwaltungsgerichtsbeschwerde in diesem Punkte unbegründet. In Anbetracht dieser Rechtslage können die Beschwerdeführenden auch nicht vorbringen, der Sachverhalt sei im Hinblick auf die Anwendung von Bundesrecht offensichtlich unrichtig, unvollständig oder unter Verletzung wesentlicher Verfahrensbestimmungen festgestellt worden ( Art. 105 Abs. 2 OG ). Vielmehr ist die Frage nach der Sachverhaltsfeststellung grundsätzlich im Rahmen der staatsrechtlichen Beschwerde zu prüfen (vgl. E. 2). d) Demnach ist die Verwaltungsgerichtsbeschwerde abzuweisen, soweit darauf eingetreten werden kann.</w:t>
      </w:r>
    </w:p>
    <w:p>
      <w:r>
        <w:rPr>
          <w:b/>
        </w:rPr>
        <w:t>E. 2</w:t>
      </w:r>
    </w:p>
    <w:p>
      <w:r>
        <w:t>Mit der staatsrechtlichen Beschwerde machen die Be-schwerdeführenden unter Berufung auf Art. 29 Abs. 2 BV in verschiedener Hinsicht eine Verletzung des rechtlichen Gehörs geltend. Diese Rügen stehen im Zusammenhang mit der in Frage gestellten Verkehrssicherheit im Bereiche der Ausfahrt aus der projektierten Tiefgarage in die Dachslerenstrasse. a) Vorerst gilt es zu prüfen, ob die Beschwerdeführenden überhaupt zur staatsrechtlichen Beschwerde legitimiert sind. Die Legitimation von Nachbarn zur staatsrechtlichen Beschwerde bestimmt sich nach den Voraussetzungen von Art. 88 OG . Danach sind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Der Umstand, dass ein Beschwerdeführer im kantonalen Verfahren Parteistellung hatte, ist nicht entscheidend ( BGE 118 Ia 232 E. 1a S. 234, 112 Ia 89 E. 1b, ZBl 100/1999 S. 136 E. 1b, mit Hinweisen). Die Baurekurskommission und das Verwaltungsgericht haben die Verkehrssicherheit im betroffenen Bereich, wie dargetan, unter dem Gesichtswinkel von § 237 Abs. 2 und § 240 PBG , § 5 der Verkehrssicherheitsverordnung sowie der Normalien geprüft. Diese Bestimmungen dienen allgemeinen öffentlichen Interessen und haben keine nachbarschützende Funktion (vgl. ZBl 100/1999 S. 136 E. 1b). Die Beschwerdeführenden sind daher nicht legitimiert, in der Sache selber mit staatsrechtlicher Beschwerde eine Verletzung der Verkehrssicherheit bei der Einfahrt in die Dachslerenstrasse zu rügen. In Anbetracht dieser auf benachbarte Eigentümer ausgerichteten Rechtslage braucht nicht näher auf die Frage eingegangen zu werden, wie es sich mit dem Umstand verhält, dass die Beschwerdeführenden nicht Eigentümer, sondern lediglich Mieter der benachbarten Liegenschaft sind. b) Unabhängig von der fehlenden Legitimation in der Sache selbst kann mit staatsrechtlicher Beschwerde eine Verletzung solcher Verfahrensgarantien geltend gemacht werden, deren Missachtung eine formelle Rechtsverweigerung darstellt.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von Art. 4 aBV zustehen. Dabei prüft das Bundesgericht frei, ob, im Rahmen der dem Beschwerdeführer nach kantonalem Recht eingeräumten Parteistellung im Verfahren, die durch Art. 4 aBV gewährleisteten Minimalansprüche respektiert wurden ( BGE 114 Ia 307 E. 3c, 120 Ia 220 E. 2a, mit Hinweisen). Diese zu Art. 4 aBV ergangene Rechtsprechung hat auch unter der neuen Bundesverfassung Gültigkeit. Gestützt auf diese Praxis kann der Beschwerdeführer, der in der Sache nicht berechtigt ist, dem aber im kantonalen Verfahren Parteistellung zukam,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Die Beurteilung dieser Fragen kann nämlich nicht von der Prüfung der Sache selber getrennt werden; auf eine solche hat der in der Sache selbst nicht Legitimierte keinen Anspruch ( BGE 114 Ia 307 E. 3c S. 313). Die Beschwerdeführenden hatten im kantonalen Verfahren vor der Rekurskommission und dem Verwaltungsgericht zwar Parteistellung. In Anbetracht der erwähnten Rechtsprechung sind sie indessen nicht zur Rüge befugt, das Verwaltungsgericht habe in verfassungswidriger Weise die Durchführung von Beweismassnahmen wie den beantragten Augenschein und das verlangte verkehrstechnische Gutachten verweigert. Insofern ist auf die staatsrechtliche Beschwerde nicht einzutreten. c) Schliesslich rügen die Beschwerdeführenden, dass ohne ihr Wissen und Beisein Fotografien hergestellt und in die Akten aufgenommen worden sind, sie dazu nicht haben Stellung nehmen können und das Verwaltungsgericht darauf abgestellt hat. Darin erblicken sie eine Verletzung von Art. 29 Abs. 2 BV . Aufgrund der genannten Praxis sind die in der Sache selber nicht legitimierten Beschwerdeführenden zur Rüge der Verletzung von Parteirechten und des rechtlichen Gehörs befugt. Der Umstand, dass Beweise abgenommen werden, ohne dass die Parteien daran teilnehmen oder zum Beweisergebnis Stellung nehmen können, ist geeignet, den verfassungsmässigen Anspruch auf rechtliches Gehör zu verletzen. Im vorliegenden Fall stellt sich die Frage, ob die Beschwerdeführenden in dieser Hinsicht den kantonalen Instanzenzug ausgeschöpft haben. Auf S. 24 ihrer kantonalen Verwaltungsgerichtsbeschwerde rügten sie dies nicht ausdrücklich. Wie es sich damit verhält, kann offen bleiben, da sie in jenem Zeitpunkt anscheinend keine sichere Kenntnis vom Vorhandensein der Fotos hatten. Entscheidend ist indessen, dass die Beschwerdeführenden im Zeitpunkt der Beschwerdeführung an das Verwaltungsgericht offenbar vermuteten, dass die Rekurskommission Fotografien angefertigt und diese den Akten beigelegt haben könnte. Hätten sie diesen Umstand beanstanden wollen, so hätten sie sich ohne weiteres darüber Kenntnis verschaffen können. Es wäre den Beschwerdeführenden leicht möglich und zumutbar gewesen, sich durch Akteneinsicht Gewissheit über das Vorhandensein der Fotografien zu verschaffen. Dies hätte es ihnen erlaubt, zu den Fotografien Stellung zu nehmen und etwa vorzubringen, diese gäben ein unvollständiges oder unzutreffendes Bild der tatsächlichen Situation wieder. Wenn sie dies unterliessen, können sie nicht nachträglich eine Verletzung ihrer Parteirechte rügen und geltend machen, sie hätten sich zu den Fotografien nicht äussern können. Aus diesen Gründen erweist sich die Rüge der Verletzung des rechtlichen Gehörs als unbegründet.</w:t>
      </w:r>
    </w:p>
    <w:p>
      <w:r>
        <w:rPr>
          <w:b/>
        </w:rPr>
        <w:t>E. 3</w:t>
      </w:r>
    </w:p>
    <w:p>
      <w:r>
        <w:t>Demnach sind die Verwaltungsgerichtsbeschwerde und die staatsrechtliche Beschwerde abzuweisen, soweit darauf eingetreten werden kann. Bei diesem Ausgang des Verfahrens haben die Beschwerdeführenden die bundesgerichtlichen Kosten zu tragen ( Art. 156 OG ). Sie haben zudem die private Beschwerdegegnerin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