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1A.172/2001 vom 31. August 2001</w:t>
      </w:r>
    </w:p>
    <w:p>
      <w:r>
        <w:t>Bundesgericht, 2001-08-31, DE</w:t>
      </w:r>
    </w:p>
    <w:p>
      <w:r>
        <w:rPr>
          <w:b/>
        </w:rPr>
        <w:t xml:space="preserve">Quelle: </w:t>
      </w:r>
      <w:r>
        <w:t>https://mcp.opencaselaw.ch/entscheid/bger_1A.172_2001</w:t>
      </w:r>
    </w:p>
    <w:p>
      <w:r>
        <w:t>FR: TF 1A.172/2001 du 31 août 2001</w:t>
      </w:r>
    </w:p>
    <w:p>
      <w:r>
        <w:t>IT: TF 1A.172/2001 del 31 agosto 2001</w:t>
      </w:r>
    </w:p>
    <w:p>
      <w:pPr>
        <w:pStyle w:val="Heading2"/>
      </w:pPr>
      <w:r>
        <w:t>Erwägungen</w:t>
      </w:r>
    </w:p>
    <w:p>
      <w:r>
        <w:rPr>
          <w:b/>
        </w:rPr>
        <w:t>E. 1</w:t>
      </w:r>
    </w:p>
    <w:p>
      <w:r>
        <w:t>a) Bei fruchtlosem Ablauf der für die Bezahlung des Kostenvorschusses angesetzten Frist wird auf die Rechtsvorkehr nicht eingetreten ( Art. 150 Abs. 4 OG ).</w:t>
      </w:r>
    </w:p>
    <w:p>
      <w:r>
        <w:t>b) Gemäss Art. 32 Abs. 3 OG gilt eine Frist als eingehalten, wenn die Handlung innerhalb der angesetzten Frist vorgenommen wird. Nach dieser Vorschrift müssen Eingaben spätestens am letzten Tag der Frist der zuständigen Behörde eingereicht oder zu deren Handen der schweizerischen Post übergeben werden. Diese Regelung ist analog auf die Einzahlung eines Kostenvorschusses anwendbar. Wird eine Bank mit der Bezahlung des Kostenvorschusses beauftragt, so gilt die Zahlung nur dann als rechtzeitig erbracht, wenn die Bank ihrerseits im Sinne von Art. 32 Abs. 3 OG rechtzeitig handelt.</w:t>
      </w:r>
    </w:p>
    <w:p>
      <w:r>
        <w:t>Allfällige Versäumnisse der Bank werden der Partei zugerechnet, da die Bank als deren Hilfsperson betrachtet wird ( BGE 114 Ib 67 E. 2 S. 69 ff.).</w:t>
      </w:r>
    </w:p>
    <w:p>
      <w:r>
        <w:t>Benützt die Bank zur Ausführung des Auftrages den Sammelauftragsdienst (SAD) der PTT, so gilt die Zahlung dann als rechtzeitig erfolgt, wenn einerseits spätestens der letzte Tag der vom Bundesgericht festgesetzten Frist als Fälligkeitsdatum eingesetzt ist und anderseits der Datenträger innert dieser Frist der Post übergeben wird ( BGE 117 Ib 220 E. 2a S. 222).</w:t>
      </w:r>
    </w:p>
    <w:p>
      <w:r>
        <w:t>c) Im vorliegenden Fall macht der Beschwerdeführer geltend, seine Ehefrau habe den Zahlungsauftrag am 26. Oktober 2001 einer Filiale der Barclays Bank erteilt und diese habe den Zahlungsauftrag am 26. Oktober 2001 um 15.12 Uhr ausgeführt. Der von ihm eingereichten Kopie der "Payment message" ist indes bloss zu entnehmen, dass die Barclays Bank am genannten Datum den Empfang des von der Ehefrau des Beschwerdeführers erteilten Zahlungsauftrags bestätigt hat ("swift acknowledged"). Wie auf dem Kostenvorschussformular angegeben wurde, ist bei Sammelaufträgen mit Datenträgern SAD nicht das Auftragsdatum an die Bank entscheidend, sondern das vom SAD-Benützer an die Post eingegebene Fälligkeitsdatum. Nach den Angaben der Postfinance ging im hier zu beurteilenden Fall der Datenträger am 30. Oktober 2001 bei ihr ein und als Fälligkeitsdatum für die Zahlung war der 30. Oktober 2001 angegeben. Dies bedeutet, dass der Kostenvorschuss nach Ablauf der angesetzten Frist und damit verspätet geleistet wurde. Gemäss Art. 150 Abs. 4 OG kann deshalb auf die vorliegende Verwaltungsgerichtsbeschwerde nicht eingetreten werden.</w:t>
      </w:r>
    </w:p>
    <w:p>
      <w:r>
        <w:rPr>
          <w:b/>
        </w:rPr>
        <w:t>E. 2</w:t>
      </w:r>
    </w:p>
    <w:p>
      <w:r>
        <w:t>Entsprechend dem Ausgang des bundesgerichtlichen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