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1A.167/2000 vom 23. Juni 2000</w:t>
      </w:r>
    </w:p>
    <w:p>
      <w:r>
        <w:t>Bundesgericht, 2000-06-23, DE</w:t>
      </w:r>
    </w:p>
    <w:p>
      <w:r>
        <w:rPr>
          <w:b/>
        </w:rPr>
        <w:t xml:space="preserve">Quelle: </w:t>
      </w:r>
      <w:r>
        <w:t>https://mcp.opencaselaw.ch/entscheid/bger_1A.167_2000</w:t>
      </w:r>
    </w:p>
    <w:p>
      <w:r>
        <w:t>FR: TF 1A.167/2000 du 23 juin 2000</w:t>
      </w:r>
    </w:p>
    <w:p>
      <w:r>
        <w:t>IT: TF 1A.167/2000 del 23 giugno 2000</w:t>
      </w:r>
    </w:p>
    <w:p>
      <w:pPr>
        <w:pStyle w:val="Heading2"/>
      </w:pPr>
      <w:r>
        <w:t>Erwägungen</w:t>
      </w:r>
    </w:p>
    <w:p>
      <w:r>
        <w:rPr>
          <w:b/>
        </w:rPr>
        <w:t>E. 1</w:t>
      </w:r>
    </w:p>
    <w:p>
      <w:r>
        <w:t>a) Der angefochtene Entscheid ist eine Verfügung einer letztinstanzlichen kantonalen Behörde, mit der das Rechtshilfeverfahren abgeschlossen wird. Sie unterliegt gemäss Art. 80f Abs. 1 des Bundesgesetzes vom 20. März 1981 über internationale Rechtshilfe in Strafsachen (IRSG; SR 351. 1) der Verwaltungsgerichtsbeschwerde an das Bundesgericht.</w:t>
      </w:r>
    </w:p>
    <w:p>
      <w:r>
        <w:t>Mit der Schlussverfügung können grundsätzlich auch die vorangehenden Zwischenverfügungen angefochten werden.</w:t>
      </w:r>
    </w:p>
    <w:p>
      <w:r>
        <w:t>Im vorliegenden Fall ist allerdings zu beachten, dass die Verfügungen vom 29. Mai 1986 und vom 6. Juli 1990 vor der Revision des IRSG vom 4. Oktober 1996 ergangen sind und nach damaligem Recht selbständig angefochten werden konnten und mussten. Diese Verfügungen sind somit rechtskräftig geworden; auf sie kann im vorliegenden Verfahren nicht zurückgekommen werden.</w:t>
      </w:r>
    </w:p>
    <w:p>
      <w:r>
        <w:t>b) Die Beschwerdeführerin ist als Kontoinhaberin berechtigt, Beschwerde gegen die Übermittlung ihrer Kontounterlagen zu erheben ( Art. 80h lit. b IRSG ; Art. 9a lit. a der Verordnung vom 24. Februar 1982 über internationale Rechtshilfe in Strafsachen [IRSV; SR 351. 11]). Auf die rechtzeitig erhobene Verwaltungsgerichtsbeschwerde ist daher einzutreten. Diese hat von Gesetzes wegen aufschiebende Wirkung ( Art. 80l Abs. 1 IRSG ).</w:t>
      </w:r>
    </w:p>
    <w:p>
      <w:r>
        <w:t>c) Das Bundesgericht ist aufgrund von Art. 25 Abs. 6 IRSG , der als Spezialbestimmung der allgemeinen Vorschrift von Art. 114 Abs. 1 OG vorgeht, nicht an die Begehren der Parteien gebunden. Es hat daher die Möglichkeit, den angefochtenen Entscheid gegebenenfalls zugunsten oder zuungunsten der Beschwerdeführer zu ändern. Das Bundesgericht prüft die bei ihm erhobenen Rügen grundsätzlich mit freier Kognition; es ist aber nicht verpflichtet, nach weiteren der Rechtshilfe allenfalls entgegenstehenden Gründen zu forschen, die aus der Beschwerde nicht hervorgehen ( BGE 112 Ib 576 E. 3 S. 586). Da ein kantonales Gericht als Vorinstanz entschieden hat, ist das Bundesgericht an dessen Sachverhaltsfeststellung gebunden, sofern diese nicht offensichtlich unrichtig, unvollständig oder unter Verletzung wesentlicher Verfahrensbestimmungen erfolgt ist ( Art. 105 Abs. 2 OG ). Ganz allgemein ist allerdings in Rechtshilfesachen vom Sachverhalt auszugehen, wie er im Rechtshilfegesuch und in dessen Ergänzungen bzw. Beilagen geschildert wird, es sei denn, diese Darstellung sei offensichtlich unrichtig, lückenhaft oder widersprüchlich ( BGE 105 Ib 418 E. 4b S. 425 f. mit Hinweis, 115 Ib 68 E. 3b/bb S. 78 mit Hinweisen).</w:t>
      </w:r>
    </w:p>
    <w:p>
      <w:r>
        <w:t>d) Mangels staatsvertraglicher Regelung richtet sich die Rechtshilfe zwischen der Eidgenossenschaft und der Republik der Philippinen nach den Bestimmungen des IRSG und der dazugehörenden Verordnung.</w:t>
      </w:r>
    </w:p>
    <w:p>
      <w:r>
        <w:rPr>
          <w:b/>
        </w:rPr>
        <w:t>E. 2</w:t>
      </w:r>
    </w:p>
    <w:p>
      <w:r>
        <w:t>a) Die Beschwerdeführerin macht in ihrer Beschwerde einzig geltend, dass die Y.________ und O.________ vorgeworfenen Straftaten verjährt seien: Gemäss Sec. 11 des Anti-Korruptionsgesetzes Nr. 3019 ("Anti-Graft and Corrupt Practices Act of the Philippines") betrage die Verjährungsfrist 10 Jahre. Zwar sei diese Frist im Jahre 1982 auf 15 Jahre verlängert worden; die revidierte Fassung des Gesetzes sei jedoch für die Angeschuldigten ungünstiger und komme daher gemäss Art. 22 des philippinischen Strafgesetzbuchs (Rückwirkungsverbot) nicht zur Anwendung. Die Beschwerdeführerin legt zwei Gutachten philippinischer Rechtsanwälte vor, die beide zum Ergebnis kommen, die Verjährungsfrist sei im Februar 1996, zehn Jahre nach dem Sturz des Marcos-Regime, abgelaufen.</w:t>
      </w:r>
    </w:p>
    <w:p>
      <w:r>
        <w:t>b) Grundsätzlich ist es nicht Aufgabe der schweizerischen Behörden und Gerichte zu prüfen, ob die Verjährung nach dem Recht des ersuchenden Staates eingetreten ist: Art. 5 Abs. 1 lit. c IRSG schliesst lediglich Zwangsmassnahmen zur Ausführung eines Rechtshilfeersuchens aus, wenn die Strafverfolgung oder die Vollstreckung nach schweizerischem Recht wegen absoluter Verjährung ausgeschlossen wäre. Ein Rechtshilfegesuch kann allenfalls abgewiesen werden, wenn ausser Zweifel steht, dass die Strafverfolgung (oder das Einziehungsverfahren) im ersuchenden Staat wegen Eintritts der Verjährung nicht weitergeführt werden kann (unveröffentlichte Urteile i.S. M. vom 17. September 1986 E. 3c und i.S. V. vom 1. Februar 2000, E. 3e/aa).</w:t>
      </w:r>
    </w:p>
    <w:p>
      <w:r>
        <w:t>c) Die philippinischen Behörden vertreten die Auffassung, die Verjährungsfrist betrage im vorliegenden Fall 15 Jahre (vgl. Schreiben des Rechtsvertreters der Philippinen vom 30. Dezember 1999, Ziff. 17); zudem habe die Verjährung gemäss Art. 91 des philippinischen Strafgesetzbuchs geruht, solange sich Z.________ und Y.________ ausserhalb der Philippinen aufgehielten (Ergänzungsersuchen, Ziff. 18 S. 17 f.). Es erscheint bereits aufgrund dieser Ausführungen jedenfalls nicht offensichtlich, dass die Verjährung nach philippinischem Recht bereits eingetreten ist.</w:t>
      </w:r>
    </w:p>
    <w:p>
      <w:r>
        <w:t>d) Überdies ist der Anspruch des philippinischen Staates auf Einziehung und Rückerstattung von Vermögenswerten, die unrechtmässig von Beamten oder öffentlichen Angestellten erworben wurden, unverjährbar (vgl. Art. XI Sec. 15 der philippinischen Verfassung von 1987 und Sec. 11 des Gesetzes Nr. 1379 über die Einziehung von Vermögen, das unrechtmässig von Beamten oder öffentlichen Angestellten erworben wurde); dies wurde erst kürzlich vom Supreme Court der Philippinen bestätigt (Entscheid vom 25. Oktober 1999 i.S. Presidential Ad Hoc Fact-Finding Comittee on Behest Loans vs.</w:t>
      </w:r>
    </w:p>
    <w:p>
      <w:r>
        <w:t>Aniano A. Desierto as Ombudsman, S. 10 ff.). Hierauf wurde im Schreiben des Rechtsvertreters der Philippinen vom 30. Dezember 1999 hingewiesen, das der Beschwerdeführerin zur Stellungnahme zugestellt worden ist.</w:t>
      </w:r>
    </w:p>
    <w:p>
      <w:r>
        <w:t>Die philippinischen Behörden gehen davon aus, dass die von der Beschwerdeführerin gehaltenen Vermögenswerte Ferdinand Marcos zurechenbar seien und als unrechtmässig erworbenes Vermögen der Einziehung unterliegen (vgl.</w:t>
      </w:r>
    </w:p>
    <w:p>
      <w:r>
        <w:t>Ergänzungsersuchen, Ziff. 12 S. 14 und Ziff. 18 S. 17). Das Verfahren auf Einziehung bzw. Rückerstattung derartiger, deliktisch erworbener Vermögenswerte ist formell - vom anwendbaren Verfahrensrecht her - zivilrechtlicher Natur ("civil case"), materiell aber handelt es sich um ein Verfahren in strafrechtlichen Angelegenheiten i.S.v. Art. 63 IRSG , für das Rechtshilfe geleistet werden kann (vgl. BGE 125 II 258 E. 7a/bb S. 261 f.; unveröffentlichter Entscheid i.S. V.</w:t>
      </w:r>
    </w:p>
    <w:p>
      <w:r>
        <w:t>vom 1. Februar 2000 E. 3c). Die Beschwerdeführerin hat selbst im Rechtshilfeverfahren eine Bestätigung eingereicht, wonach ein derartiges "Zivil"-Verfahren gegen Y.________ hängig ist.</w:t>
      </w:r>
    </w:p>
    <w:p>
      <w:r>
        <w:t>e) Nach dem Gesagten ist nicht offensichtlich, dass der philippinische Strafanspruch bzw. der Anspruch auf Einziehung oder Rückerstattung deliktisch erworbener Vermögenswerte verjährt wäre.</w:t>
      </w:r>
    </w:p>
    <w:p>
      <w:r>
        <w:t>3.-Die Beschwerde erweist sich somit als unbegründet und ist abzuweisen. Bei diesem Ausgang des Verfahrens trägt die Beschwerdeführerin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