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1A.159/2004 vom 4. August 2004</w:t>
      </w:r>
    </w:p>
    <w:p>
      <w:r>
        <w:t>Bundesgericht, 2004-08-04, FR</w:t>
      </w:r>
    </w:p>
    <w:p>
      <w:r>
        <w:rPr>
          <w:b/>
        </w:rPr>
        <w:t xml:space="preserve">Quelle: </w:t>
      </w:r>
      <w:r>
        <w:t>https://mcp.opencaselaw.ch/entscheid/bger_1A.159_2004</w:t>
      </w:r>
    </w:p>
    <w:p>
      <w:r>
        <w:t>FR: TF 1A.159/2004 du 4 août 2004</w:t>
      </w:r>
    </w:p>
    <w:p>
      <w:r>
        <w:t>IT: TF 1A.159/2004 del 4 agosto 2004</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sur l'entraide internationale en matière pénale - EIMP, RS 351.1). Les recourants ont qualité pour recourir dans la mesure où ils étaient détenteurs des documents visés par l'ordonnance de transmission.</w:t>
      </w:r>
    </w:p>
    <w:p>
      <w:r>
        <w:rPr>
          <w:b/>
        </w:rPr>
        <w:t>E. 2</w:t>
      </w:r>
    </w:p>
    <w:p>
      <w:r>
        <w:t>Les recourants estiment qu'en dépit de la restitution d'un nombre important de documents, un inventaire précis des pièces à transmettre n'aurait toujours pas été dressé par le juge d'instruction. La liste jointe à l'ordonnance de clôture contiendrait des mentions génériques, sans précision sur la nature des pièces.</w:t>
      </w:r>
    </w:p>
    <w:p>
      <w:r>
        <w:rPr>
          <w:b/>
        </w:rPr>
        <w:t>E. 2.1</w:t>
      </w:r>
    </w:p>
    <w:p>
      <w:r>
        <w:t>Après avoir saisi les documents qu'elle juge utiles pour l'exécution de la demande, l'autorité d'exécution doit trier les pièces à remettre en vue du prononcé d'une décision de clôture. A défaut d'un accord portant sur la remise facilitée ( art. 80c EIMP ), elle fait établir un inventaire précis des pièces dont la remise est contestée. Elle impartit au détenteur un délai pour faire valoir, pièce par pièce,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2.2</w:t>
      </w:r>
    </w:p>
    <w:p>
      <w:r>
        <w:t>L'obligation de dresser un inventaire est destinée d'une part à faciliter la motivation de la décision de clôture et, d'autre part, à permettre aux ayants droit de faire valoir efficacement leurs droits d'opposition. Il n'est ainsi pas nécessaire que chaque pièce fasse l'objet d'une description individuelle, l'autorité d'exécution pouvant, suivant les cas, se contenter d'une désignation d'ensemble. Il suffit que chaque document saisi puisse être facilement individualisé, ce qui est le cas en l'espèce puisque les documents ont tous été numérotés. Les recourants étaient ainsi parfaitement à même de savoir sur quels documents portait la décision de clôture. L'exigence formelle d'une désignation précise des pièces à transmettre a par conséquent été respectée.</w:t>
      </w:r>
    </w:p>
    <w:p>
      <w:r>
        <w:rPr>
          <w:b/>
        </w:rPr>
        <w:t>E. 3</w:t>
      </w:r>
    </w:p>
    <w:p>
      <w:r>
        <w:t>Les recourants reprochent ensuite au juge d'instruction de n'avoir pas procédé, après la séance du 2 mai 2003, à un tri des pièces qu'il avait décidé de conserver. Celles-ci avaient été assorties de la mention "à examiner", ce qui laissait supposer de bonne foi qu'un tri supplémentaire aurait lieu. Les recourants auraient été privés du droit de se prononcer à ce sujet et le juge d'instruction n'aurait pas indiqué en quoi la transmission de ces pièces se justifierait.</w:t>
      </w:r>
    </w:p>
    <w:p>
      <w:r>
        <w:rPr>
          <w:b/>
        </w:rPr>
        <w:t>E. 3.1</w:t>
      </w:r>
    </w:p>
    <w:p>
      <w:r>
        <w:t>A l'issue de la séance du 2 mai 2003, une grande partie de la documentation saisie a été restituée aux recourants, le reste demeurant en main du juge d'instruction avec la mention "à examiner". Même si un premier tri des pièces a bien eu lieu, le juge d'instruction devait, selon la jurisprudence rappelée ci-dessus, inviter les recourants à faire valoir leurs objections à l'égard du solde des pièces dont la remise était contestée. Par ailleurs, la décision de clôture ne comporte pas de motivation suffisante, le juge d'instruction se contentant d'affirmer que les pièces ne sont pas "manifestement impropres à faire progresser l'enquête étrangère" et "sont étroitement liées au complexe de fait décrit".</w:t>
      </w:r>
    </w:p>
    <w:p>
      <w:r>
        <w:rPr>
          <w:b/>
        </w:rPr>
        <w:t>E. 3.2</w:t>
      </w:r>
    </w:p>
    <w:p>
      <w:r>
        <w:t>Cela étant, la procédure de recours devant la Chambre d'accusation a permis une réparation de ces différents défauts. Les recourants ont pris connaissance, par la décision de clôture, des documents dont l'autorité d'exécution autorisait la transmission. Par ailleurs, le juge d'instruction a fourni, dans sa réponse du 9 janvier 2004 au recours, une motivation relative aux différents groupes de documents. Dans certains cas, il s'agit d'une simple description des pièces; dans d'autres en revanche, le juge d'instruction s'est prononcé sur la pertinence des documents dans l'optique d'une remise à l'autorité requérante. Les recourants étaient dès lors à même de faire valoir efficacement leurs objections devant la Chambre d'accusation, en indiquant leurs objections, le cas échéant pièce par pièce. Le nombre considérable de documents ne constitue pas un motif de dispense du devoir de collaboration qui incombe aux détenteurs, supposés connaître le mieux ces documents. Dans leur recours cantonal, les recourants se plaignaient de l'absence de tri; ils soutenaient que la quasi totalité des documents ne concernait pas les activités commerciales entre T.________ et l'Italie, et que la divulgation de toutes les relations d'affaires du groupe serait disproportionnée. Les recourants mentionnaient dans ce cadre la liste des sociétés du groupe, ainsi qu'un contrat de prêt (cote A5 et B12). Le 2 avril 2004, les recourants se sont déterminés sur les remarques formulées en réponse au recours par le juge d'instruction. Ils ont eux aussi présenté une argumentation d'ensemble à propos des différents groupes de pièces, alors qu'ils étaient en mesure de présenter eux-mêmes, à ce stade, des objections plus détaillées, éventuellement pièce par pièce. Dans ces conditions, leur droit d'être entendus n'a pas été violé.</w:t>
      </w:r>
    </w:p>
    <w:p>
      <w:r>
        <w:rPr>
          <w:b/>
        </w:rPr>
        <w:t>E. 4</w:t>
      </w:r>
    </w:p>
    <w:p>
      <w:r>
        <w:t>Invoquant enfin le principe de la proportionnalité et reprenant l'argumentation soumise à ce sujet à la cour cantonale, les recourants estiment que la simple mention d'une société dans la demande d'entraide ne suffirait pas à justifier la transmission de documents la concernant. La divulgation de l'ensemble des relations d'affaires de la recourante (dossier A5) serait disproportionnée, de même que la remise du contrat de prêt mentionné ci-dessus. Le dossier A3 concernerait un transport de coton entre la Chine et la France, sans rapport avec la demande. Les dossiers B1 et B3 concerneraient des transactions avec une société française, le dossier B6 concernant l'activité de T.________ au Canada. Les dossiers B11 et B12 (correspondance et factures U.________, transports ferroviaires en Russie) seraient sans rapport avec l'enquête italienne. Les pièces B14, B16, B17, B18 (dossiers R.________ et M.________) ne relèveraient pas non plus des faits décrits, y compris à propos de R.________. Quant aux dossiers E1 à E6, saisis en vrac selon le juge d'instruction, ils concerneraient des achats de participations et l'organisation de l'activité du groupe, ainsi que les décomptes de salaires de A.________.</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Le principe de la proportionnalité n'empêche pas l'autorité d'exécution d'interpréter extensivement la requête d'entraide. Cela correspond en effet à la notion d'"entraide la plus large possible" visée à l' art. 1 CEEJ , et permet d'éviter le dépôt d'une demande d'entraide complémentaire, lorsqu'il apparaît d'emblée que l'autorité étrangère ne pourra pas se satisfaire des renseignements recueillis ( ATF 121 II 241 consid. 3a p. 242-243).</w:t>
      </w:r>
    </w:p>
    <w:p>
      <w:r>
        <w:rPr>
          <w:b/>
        </w:rPr>
        <w:t>E. 4.2</w:t>
      </w:r>
    </w:p>
    <w:p>
      <w:r>
        <w:t>La demande du 12 décembre 2000 tend à la production de tous les "renseignements de routine" concernant les personnes et sociétés mentionnées. Le complément du 19 avril 2002 indique que les recourants feraient partie des personnes impliquées dans les actes de blanchiment. Il tend lui aussi, de manière générale, à la saisie, aux sièges et domiciles des personnes mentionnées, de "toute la documentation nécessaire aux enquêtes", pièces comptables comprises, ainsi que de tous les avoirs détenus au nom ou pour le compte de ces personnes. Les pièces comptables comprennent toute la comptabilité, les contrats, factures, documentation bancaire et correspondance, et toutes pièces nécessaires à contrôler la véracité des bilans et écritures. L'autorité requérante désire ainsi vérifier la réalité de l'ensemble de l'activité des sociétés qu'elle soupçonne. Sa démarche doit se comprendre dans un sens étendu, et il ne saurait être reproché au juge d'instruction d'avoir dépassé le cadre de l'entraide requise. La seule limite posée par l'autorité requérante à la production de documents est la date du 1er janvier 1996. Sous cette réserve, l'autorité d'exécution n'a pas à démontrer de rapport entre les faits décrits dans la demande et les documents qu'elle entend transmettre, car ce n'est pas à elle qu'il appartient d'évaluer la portée des moyens de preuve recueillis. Les objections soulevées par les recourants ne sont pas propres à remettre en cause l'utilité potentielle des documents à transmettre. Les recourants ne font, eux aussi, qu'expliciter en quoi consistent les diverses séries de pièces, sans toutefois contester qu'il s'agit bien de documents relatifs soit à l'activité de la société recourante, soit à la structure et à l'organisation du groupe, soit aux relations avec les autres personnes citées dans la requête. Ce sont là des renseignements auxquels l'autorité requérante a clairement déclaré être intéressée, et dont il n'y a pas lieu de refuser la transmission.</w:t>
      </w:r>
    </w:p>
    <w:p>
      <w:r>
        <w:rPr>
          <w:b/>
        </w:rPr>
        <w:t>E. 5</w:t>
      </w:r>
    </w:p>
    <w:p>
      <w:r>
        <w:t>Sur le vu de ce qui précède, le recours de droit administratif doit être rejeté. Un émolument judiciaire est mis à la charge des recourants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